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F6AB3" w14:textId="34D21C13" w:rsidR="00A9644C" w:rsidRDefault="00F0630A" w:rsidP="00CA0B81">
      <w:pPr>
        <w:jc w:val="center"/>
      </w:pPr>
      <w:r>
        <w:t xml:space="preserve">Proposal </w:t>
      </w:r>
      <w:r w:rsidR="00CE2C3B">
        <w:t xml:space="preserve">for </w:t>
      </w:r>
      <w:r w:rsidR="0081143F">
        <w:t>Academic Standard Day</w:t>
      </w:r>
    </w:p>
    <w:p w14:paraId="5B8DF563" w14:textId="3306E87A" w:rsidR="00424EC6" w:rsidRPr="00424EC6" w:rsidRDefault="00424EC6" w:rsidP="004B08D8">
      <w:pPr>
        <w:jc w:val="both"/>
        <w:rPr>
          <w:b/>
          <w:bCs/>
        </w:rPr>
      </w:pPr>
      <w:bookmarkStart w:id="0" w:name="_Hlk189835632"/>
      <w:r w:rsidRPr="00424EC6">
        <w:rPr>
          <w:b/>
          <w:bCs/>
        </w:rPr>
        <w:t>Project Description</w:t>
      </w:r>
    </w:p>
    <w:p w14:paraId="0DC9C6D5" w14:textId="780E4EF4" w:rsidR="004B08D8" w:rsidRDefault="004B08D8" w:rsidP="004B08D8">
      <w:pPr>
        <w:jc w:val="both"/>
      </w:pPr>
      <w:r>
        <w:t>Edu4Standards.eu is a Horizon Europe funded project with the aim to empower standardisation in Europe through Education. CEN is a partner of the project</w:t>
      </w:r>
      <w:r w:rsidR="00CD0AF0">
        <w:t>,</w:t>
      </w:r>
      <w:r>
        <w:t xml:space="preserve"> which </w:t>
      </w:r>
      <w:r w:rsidR="00CD0AF0">
        <w:t>started</w:t>
      </w:r>
      <w:r>
        <w:t xml:space="preserve"> in January 2024 and will run for three years.  </w:t>
      </w:r>
    </w:p>
    <w:p w14:paraId="3D9AAC61" w14:textId="672717F7" w:rsidR="0081143F" w:rsidRDefault="0081143F" w:rsidP="004B08D8">
      <w:pPr>
        <w:jc w:val="both"/>
      </w:pPr>
      <w:r>
        <w:t xml:space="preserve">The </w:t>
      </w:r>
      <w:r w:rsidR="00CC0A7F">
        <w:t>A</w:t>
      </w:r>
      <w:r>
        <w:t xml:space="preserve">cademic </w:t>
      </w:r>
      <w:r w:rsidR="00CC0A7F">
        <w:t>S</w:t>
      </w:r>
      <w:r>
        <w:t xml:space="preserve">tandard </w:t>
      </w:r>
      <w:r w:rsidR="00CC0A7F">
        <w:t>D</w:t>
      </w:r>
      <w:r>
        <w:t>ay</w:t>
      </w:r>
      <w:r w:rsidR="00CC0A7F">
        <w:t>s</w:t>
      </w:r>
      <w:r>
        <w:t xml:space="preserve"> (ASD</w:t>
      </w:r>
      <w:r w:rsidR="00CC0A7F">
        <w:t>s</w:t>
      </w:r>
      <w:r>
        <w:t xml:space="preserve">) is an event-concept developed </w:t>
      </w:r>
      <w:r w:rsidR="004B08D8">
        <w:t xml:space="preserve">as </w:t>
      </w:r>
      <w:r w:rsidR="00CC0A7F">
        <w:t>part of the Edu4Standards.eu project</w:t>
      </w:r>
      <w:r>
        <w:t>. The ASDs inten</w:t>
      </w:r>
      <w:r w:rsidR="00EB2784">
        <w:t>d</w:t>
      </w:r>
      <w:r>
        <w:t xml:space="preserve"> to strengthen the link between standardisation and </w:t>
      </w:r>
      <w:r w:rsidR="00D750B6">
        <w:t>education</w:t>
      </w:r>
      <w:r>
        <w:t xml:space="preserve"> </w:t>
      </w:r>
      <w:r w:rsidR="00CA0B81">
        <w:t>by</w:t>
      </w:r>
      <w:r>
        <w:t xml:space="preserve"> creat</w:t>
      </w:r>
      <w:r w:rsidR="00CA0B81">
        <w:t>ing</w:t>
      </w:r>
      <w:r>
        <w:t xml:space="preserve"> interest </w:t>
      </w:r>
      <w:r w:rsidR="00903CDC" w:rsidRPr="00903CDC">
        <w:t xml:space="preserve">for standardisation among students as well as teachers </w:t>
      </w:r>
      <w:r>
        <w:t xml:space="preserve">at higher education institutes across Europe  </w:t>
      </w:r>
    </w:p>
    <w:p w14:paraId="194D1255" w14:textId="5548A493" w:rsidR="004B08D8" w:rsidRPr="004B08D8" w:rsidRDefault="004B08D8" w:rsidP="004B08D8">
      <w:pPr>
        <w:jc w:val="both"/>
        <w:rPr>
          <w:b/>
          <w:bCs/>
        </w:rPr>
      </w:pPr>
      <w:r>
        <w:rPr>
          <w:b/>
          <w:bCs/>
        </w:rPr>
        <w:t>Technical context</w:t>
      </w:r>
    </w:p>
    <w:bookmarkEnd w:id="0"/>
    <w:p w14:paraId="65F6F70E" w14:textId="0F463CEC" w:rsidR="00CA0B81" w:rsidRDefault="00CA0B81" w:rsidP="00CA0B81">
      <w:pPr>
        <w:jc w:val="both"/>
      </w:pPr>
      <w:r>
        <w:t>The Edu4Standards.eu project will fund 15 ASDs across Europe</w:t>
      </w:r>
      <w:r w:rsidR="00CE2C3B">
        <w:t xml:space="preserve"> with up to 12.000 Eur</w:t>
      </w:r>
      <w:r w:rsidR="006F6D49">
        <w:t>o</w:t>
      </w:r>
      <w:r w:rsidR="00CE2C3B">
        <w:t xml:space="preserve"> per event</w:t>
      </w:r>
      <w:r>
        <w:t>. To receive the funding the event must be organised in collaboration between a</w:t>
      </w:r>
      <w:r w:rsidR="00C210DF">
        <w:t xml:space="preserve"> National Standards Body (NSB)/ National Committee (NC)</w:t>
      </w:r>
      <w:r>
        <w:t xml:space="preserve"> (or both) and University/Higher education institute of the same country and </w:t>
      </w:r>
      <w:r w:rsidR="004B08D8">
        <w:t xml:space="preserve">take the necessary steps to </w:t>
      </w:r>
      <w:r w:rsidR="00267F5D">
        <w:t xml:space="preserve">achieve the following </w:t>
      </w:r>
      <w:r w:rsidR="00CC0A7F">
        <w:t xml:space="preserve">attendance </w:t>
      </w:r>
      <w:r w:rsidR="00267F5D">
        <w:t>targets</w:t>
      </w:r>
      <w:r>
        <w:t>:</w:t>
      </w:r>
    </w:p>
    <w:p w14:paraId="59CAD344" w14:textId="76A6844B" w:rsidR="00CA0B81" w:rsidRDefault="00CA0B81" w:rsidP="00CA0B81">
      <w:pPr>
        <w:pStyle w:val="ListParagraph"/>
        <w:numPr>
          <w:ilvl w:val="0"/>
          <w:numId w:val="1"/>
        </w:numPr>
        <w:jc w:val="both"/>
      </w:pPr>
      <w:r>
        <w:t>Attendance of 100 students</w:t>
      </w:r>
    </w:p>
    <w:p w14:paraId="1E8DED26" w14:textId="7F530119" w:rsidR="00CA0B81" w:rsidRDefault="00CA0B81" w:rsidP="00CA0B81">
      <w:pPr>
        <w:pStyle w:val="ListParagraph"/>
        <w:numPr>
          <w:ilvl w:val="0"/>
          <w:numId w:val="1"/>
        </w:numPr>
        <w:jc w:val="both"/>
      </w:pPr>
      <w:r>
        <w:t>Attendance of 10 teachers/professors</w:t>
      </w:r>
    </w:p>
    <w:p w14:paraId="62B5DCFD" w14:textId="3BC37FFA" w:rsidR="00CA0B81" w:rsidRDefault="00CA0B81" w:rsidP="00CA0B81">
      <w:pPr>
        <w:pStyle w:val="ListParagraph"/>
        <w:numPr>
          <w:ilvl w:val="0"/>
          <w:numId w:val="1"/>
        </w:numPr>
        <w:jc w:val="both"/>
      </w:pPr>
      <w:r>
        <w:t>Participation of 5 industry representatives</w:t>
      </w:r>
    </w:p>
    <w:p w14:paraId="61960564" w14:textId="11026BB7" w:rsidR="004B08D8" w:rsidRDefault="004B08D8" w:rsidP="004B08D8">
      <w:pPr>
        <w:jc w:val="both"/>
      </w:pPr>
      <w:r>
        <w:t xml:space="preserve">A first round of </w:t>
      </w:r>
      <w:r w:rsidR="00AF2B3B">
        <w:t xml:space="preserve">four </w:t>
      </w:r>
      <w:r>
        <w:t>so</w:t>
      </w:r>
      <w:r w:rsidR="00267F5D">
        <w:t>-</w:t>
      </w:r>
      <w:r>
        <w:t xml:space="preserve">called MOCK ASDs </w:t>
      </w:r>
      <w:proofErr w:type="gramStart"/>
      <w:r w:rsidR="00C210DF">
        <w:t>have</w:t>
      </w:r>
      <w:proofErr w:type="gramEnd"/>
      <w:r w:rsidR="00C210DF">
        <w:t xml:space="preserve"> taken place</w:t>
      </w:r>
      <w:r>
        <w:t xml:space="preserve"> during Q1-Q2 of 2025 a</w:t>
      </w:r>
      <w:r w:rsidR="00267F5D">
        <w:t>n</w:t>
      </w:r>
      <w:r>
        <w:t xml:space="preserve">d </w:t>
      </w:r>
      <w:r w:rsidR="00C210DF">
        <w:t xml:space="preserve">have been </w:t>
      </w:r>
      <w:r>
        <w:t>organised in collaboration with the project partners.</w:t>
      </w:r>
      <w:r w:rsidR="00CC0A7F">
        <w:t xml:space="preserve"> </w:t>
      </w:r>
      <w:r>
        <w:t xml:space="preserve">The remaining ten days will be scheduled following a call for interest to the members of CEN and CENELEC and must take place during the remaining time of the project. </w:t>
      </w:r>
    </w:p>
    <w:p w14:paraId="66B0D67F" w14:textId="02A5C32C" w:rsidR="004B08D8" w:rsidRPr="004B08D8" w:rsidRDefault="004B08D8" w:rsidP="00CA0B81">
      <w:pPr>
        <w:jc w:val="both"/>
        <w:rPr>
          <w:b/>
          <w:bCs/>
        </w:rPr>
      </w:pPr>
      <w:r>
        <w:rPr>
          <w:b/>
          <w:bCs/>
        </w:rPr>
        <w:t>Expected delivery</w:t>
      </w:r>
    </w:p>
    <w:p w14:paraId="2545140F" w14:textId="6F719440" w:rsidR="00706086" w:rsidRDefault="004B08D8" w:rsidP="00CA0B81">
      <w:pPr>
        <w:jc w:val="both"/>
      </w:pPr>
      <w:r>
        <w:t xml:space="preserve">In addition to meeting the </w:t>
      </w:r>
      <w:r w:rsidR="00424EC6">
        <w:t>above-mentioned</w:t>
      </w:r>
      <w:r>
        <w:t xml:space="preserve"> attendance KPIs, </w:t>
      </w:r>
      <w:r w:rsidR="00E25C0E">
        <w:t xml:space="preserve">the Academic Standard Days shall make use of various engagement methods and contribute to raising the awareness of the participants regarding the standardisation landscape, the skills required to contribute to standardisation and about the role standardisation plays as an important knowledge valorisation route for various economic sector. The event shall furthermore integrate </w:t>
      </w:r>
      <w:r w:rsidR="00E25C0E" w:rsidRPr="008A78BA">
        <w:rPr>
          <w:rStyle w:val="SubtleEmphasis"/>
          <w:i w:val="0"/>
          <w:iCs w:val="0"/>
        </w:rPr>
        <w:t>a discussion of the technical and societal facets of standardization</w:t>
      </w:r>
      <w:r w:rsidR="00E25C0E">
        <w:rPr>
          <w:rStyle w:val="SubtleEmphasis"/>
          <w:i w:val="0"/>
          <w:iCs w:val="0"/>
        </w:rPr>
        <w:t xml:space="preserve"> and highlight </w:t>
      </w:r>
      <w:r w:rsidR="00E25C0E" w:rsidRPr="008A78BA">
        <w:rPr>
          <w:color w:val="404040" w:themeColor="text1" w:themeTint="BF"/>
          <w:lang w:val="en-US"/>
        </w:rPr>
        <w:t>the strategic role that standards play to achieve European policy priorities</w:t>
      </w:r>
      <w:r w:rsidR="00E25C0E">
        <w:rPr>
          <w:color w:val="404040" w:themeColor="text1" w:themeTint="BF"/>
          <w:lang w:val="en-US"/>
        </w:rPr>
        <w:t>.</w:t>
      </w:r>
    </w:p>
    <w:p w14:paraId="6AD978E6" w14:textId="73513FBA" w:rsidR="00CA0B81" w:rsidRDefault="00CA0B81" w:rsidP="00CA0B81">
      <w:pPr>
        <w:jc w:val="both"/>
      </w:pPr>
      <w:r>
        <w:t>The ASDs may be organised as a half day, one day or two</w:t>
      </w:r>
      <w:r w:rsidR="008A78BA">
        <w:t>-</w:t>
      </w:r>
      <w:r>
        <w:t>day event but shall</w:t>
      </w:r>
      <w:r w:rsidR="00E25C0E">
        <w:t xml:space="preserve"> take place within the academic year 2025-2026</w:t>
      </w:r>
      <w:r>
        <w:t>.</w:t>
      </w:r>
    </w:p>
    <w:p w14:paraId="56EBAF83" w14:textId="1FCF53B9" w:rsidR="00424EC6" w:rsidRDefault="00424EC6" w:rsidP="00CA0B81">
      <w:pPr>
        <w:jc w:val="both"/>
      </w:pPr>
      <w:r>
        <w:t>Costs to achieve this, may include but are not limited to:</w:t>
      </w:r>
    </w:p>
    <w:p w14:paraId="74909CD5" w14:textId="63AE5EE7" w:rsidR="00424EC6" w:rsidRDefault="00424EC6" w:rsidP="00424EC6">
      <w:pPr>
        <w:pStyle w:val="ListParagraph"/>
        <w:numPr>
          <w:ilvl w:val="0"/>
          <w:numId w:val="1"/>
        </w:numPr>
        <w:jc w:val="both"/>
      </w:pPr>
      <w:r>
        <w:t>Renting of venue</w:t>
      </w:r>
    </w:p>
    <w:p w14:paraId="2BC9C5D6" w14:textId="6A280D35" w:rsidR="00424EC6" w:rsidRDefault="00424EC6" w:rsidP="00424EC6">
      <w:pPr>
        <w:pStyle w:val="ListParagraph"/>
        <w:numPr>
          <w:ilvl w:val="0"/>
          <w:numId w:val="1"/>
        </w:numPr>
        <w:jc w:val="both"/>
      </w:pPr>
      <w:r>
        <w:t>Catering</w:t>
      </w:r>
    </w:p>
    <w:p w14:paraId="294F15EA" w14:textId="7D318C2A" w:rsidR="00424EC6" w:rsidRDefault="00424EC6" w:rsidP="00424EC6">
      <w:pPr>
        <w:pStyle w:val="ListParagraph"/>
        <w:numPr>
          <w:ilvl w:val="0"/>
          <w:numId w:val="1"/>
        </w:numPr>
        <w:jc w:val="both"/>
      </w:pPr>
      <w:r>
        <w:t>Technical equipment</w:t>
      </w:r>
    </w:p>
    <w:p w14:paraId="2309E5AB" w14:textId="7DE11BB9" w:rsidR="00424EC6" w:rsidRDefault="00424EC6" w:rsidP="00424EC6">
      <w:pPr>
        <w:pStyle w:val="ListParagraph"/>
        <w:numPr>
          <w:ilvl w:val="0"/>
          <w:numId w:val="1"/>
        </w:numPr>
        <w:jc w:val="both"/>
      </w:pPr>
      <w:r>
        <w:lastRenderedPageBreak/>
        <w:t>Moderator fee</w:t>
      </w:r>
    </w:p>
    <w:p w14:paraId="2FAC1A3C" w14:textId="6488EEF0" w:rsidR="00424EC6" w:rsidRDefault="00424EC6" w:rsidP="00424EC6">
      <w:pPr>
        <w:pStyle w:val="ListParagraph"/>
        <w:numPr>
          <w:ilvl w:val="0"/>
          <w:numId w:val="1"/>
        </w:numPr>
        <w:jc w:val="both"/>
      </w:pPr>
      <w:r>
        <w:t>Give aways</w:t>
      </w:r>
    </w:p>
    <w:p w14:paraId="556FF90C" w14:textId="0F06B2BE" w:rsidR="00424EC6" w:rsidRDefault="00424EC6" w:rsidP="00424EC6">
      <w:pPr>
        <w:pStyle w:val="ListParagraph"/>
        <w:numPr>
          <w:ilvl w:val="0"/>
          <w:numId w:val="1"/>
        </w:numPr>
        <w:jc w:val="both"/>
      </w:pPr>
      <w:r>
        <w:t>Speakers</w:t>
      </w:r>
      <w:r w:rsidR="00C210DF">
        <w:t>’ travel cost</w:t>
      </w:r>
    </w:p>
    <w:p w14:paraId="2B675607" w14:textId="15635E8D" w:rsidR="00424EC6" w:rsidRDefault="00424EC6" w:rsidP="00424EC6">
      <w:pPr>
        <w:pStyle w:val="ListParagraph"/>
        <w:numPr>
          <w:ilvl w:val="0"/>
          <w:numId w:val="1"/>
        </w:numPr>
        <w:jc w:val="both"/>
      </w:pPr>
      <w:r>
        <w:t>Printings and/or media</w:t>
      </w:r>
    </w:p>
    <w:p w14:paraId="6E956EF3" w14:textId="0F03D35B" w:rsidR="0075036C" w:rsidRDefault="0075036C" w:rsidP="00424EC6">
      <w:pPr>
        <w:pStyle w:val="ListParagraph"/>
        <w:numPr>
          <w:ilvl w:val="0"/>
          <w:numId w:val="1"/>
        </w:numPr>
        <w:jc w:val="both"/>
      </w:pPr>
      <w:r>
        <w:t xml:space="preserve">Paid advertisement on </w:t>
      </w:r>
      <w:r w:rsidR="00E25C0E">
        <w:t>social media</w:t>
      </w:r>
    </w:p>
    <w:p w14:paraId="00BBE85E" w14:textId="063D1041" w:rsidR="00C47248" w:rsidRPr="00C47248" w:rsidRDefault="00C47248" w:rsidP="00C47248">
      <w:pPr>
        <w:jc w:val="both"/>
        <w:rPr>
          <w:i/>
          <w:iCs/>
        </w:rPr>
      </w:pPr>
      <w:r w:rsidRPr="00C47248">
        <w:rPr>
          <w:i/>
          <w:iCs/>
        </w:rPr>
        <w:t>Note that personnel costs are not eligible</w:t>
      </w:r>
      <w:r w:rsidR="00C54984">
        <w:rPr>
          <w:i/>
          <w:iCs/>
        </w:rPr>
        <w:t xml:space="preserve"> and that the refunding of expenses will be based on the receipts/invoices of the service providers.</w:t>
      </w:r>
    </w:p>
    <w:p w14:paraId="35484810" w14:textId="06183716" w:rsidR="004B08D8" w:rsidRDefault="00706086" w:rsidP="00CA0B81">
      <w:pPr>
        <w:jc w:val="both"/>
      </w:pPr>
      <w:r>
        <w:t>Following the successful organisation of the ASD,</w:t>
      </w:r>
      <w:r w:rsidR="005D7F33">
        <w:t xml:space="preserve"> the organisers will be asked to prepare</w:t>
      </w:r>
      <w:r>
        <w:t xml:space="preserve"> a post-event</w:t>
      </w:r>
      <w:r w:rsidR="00C210DF">
        <w:t xml:space="preserve"> report</w:t>
      </w:r>
      <w:r>
        <w:t xml:space="preserve">. The report will </w:t>
      </w:r>
      <w:r w:rsidR="00C210DF">
        <w:t>need to describe</w:t>
      </w:r>
      <w:r>
        <w:t xml:space="preserve">: </w:t>
      </w:r>
    </w:p>
    <w:p w14:paraId="4DC2A699" w14:textId="7E29AE8A" w:rsidR="00706086" w:rsidRDefault="00706086" w:rsidP="00706086">
      <w:pPr>
        <w:pStyle w:val="ListParagraph"/>
        <w:numPr>
          <w:ilvl w:val="0"/>
          <w:numId w:val="1"/>
        </w:numPr>
        <w:jc w:val="both"/>
      </w:pPr>
      <w:r>
        <w:t>Activities and expenditures undertaken to ensure the success of the ASD</w:t>
      </w:r>
    </w:p>
    <w:p w14:paraId="1E7030F0" w14:textId="6E0E1397" w:rsidR="00706086" w:rsidRDefault="00706086" w:rsidP="00706086">
      <w:pPr>
        <w:pStyle w:val="ListParagraph"/>
        <w:numPr>
          <w:ilvl w:val="0"/>
          <w:numId w:val="1"/>
        </w:numPr>
        <w:jc w:val="both"/>
      </w:pPr>
      <w:r>
        <w:t>Count of attendees per target group</w:t>
      </w:r>
      <w:r w:rsidR="00C210DF">
        <w:t xml:space="preserve"> and any additional relevant metric</w:t>
      </w:r>
    </w:p>
    <w:p w14:paraId="5C5EBEBA" w14:textId="7104199D" w:rsidR="00706086" w:rsidRDefault="00706086" w:rsidP="00706086">
      <w:pPr>
        <w:pStyle w:val="ListParagraph"/>
        <w:numPr>
          <w:ilvl w:val="0"/>
          <w:numId w:val="1"/>
        </w:numPr>
        <w:jc w:val="both"/>
      </w:pPr>
      <w:r>
        <w:t>Any public communication material related to the ASD</w:t>
      </w:r>
    </w:p>
    <w:p w14:paraId="19C7239B" w14:textId="5C1965A1" w:rsidR="00C210DF" w:rsidRDefault="00C210DF" w:rsidP="00706086">
      <w:pPr>
        <w:pStyle w:val="ListParagraph"/>
        <w:numPr>
          <w:ilvl w:val="0"/>
          <w:numId w:val="1"/>
        </w:numPr>
        <w:jc w:val="both"/>
      </w:pPr>
      <w:r>
        <w:t>Highlights of main takeaways and lessons learned from the event</w:t>
      </w:r>
    </w:p>
    <w:p w14:paraId="4DE93848" w14:textId="655B2F6E" w:rsidR="00706086" w:rsidRDefault="00706086" w:rsidP="00706086">
      <w:pPr>
        <w:jc w:val="both"/>
      </w:pPr>
      <w:r>
        <w:t xml:space="preserve">The report will feed into the </w:t>
      </w:r>
      <w:r w:rsidR="005D7F33">
        <w:t xml:space="preserve">Edu4Standards.eu </w:t>
      </w:r>
      <w:r>
        <w:t xml:space="preserve">deliverable </w:t>
      </w:r>
      <w:r w:rsidR="005D7F33">
        <w:t>“</w:t>
      </w:r>
      <w:r>
        <w:t>D4.3 – Edu4Standards.eu Academic Standardisation Days Outcomes</w:t>
      </w:r>
      <w:r w:rsidR="005D7F33">
        <w:t>”</w:t>
      </w:r>
      <w:r w:rsidR="00424EC6">
        <w:t>.</w:t>
      </w:r>
    </w:p>
    <w:p w14:paraId="0C8EBAC4" w14:textId="705D5B70" w:rsidR="00C47248" w:rsidRDefault="00C47248" w:rsidP="00706086">
      <w:pPr>
        <w:jc w:val="both"/>
        <w:rPr>
          <w:i/>
          <w:iCs/>
        </w:rPr>
      </w:pPr>
      <w:r>
        <w:rPr>
          <w:i/>
          <w:iCs/>
        </w:rPr>
        <w:t xml:space="preserve">Please fill in the below and </w:t>
      </w:r>
      <w:r w:rsidR="00F96D16">
        <w:rPr>
          <w:i/>
          <w:iCs/>
        </w:rPr>
        <w:t>upload it again on the EDU4Standards.eu website,</w:t>
      </w:r>
      <w:r>
        <w:rPr>
          <w:i/>
          <w:iCs/>
        </w:rPr>
        <w:t xml:space="preserve"> </w:t>
      </w:r>
      <w:r w:rsidR="00204330">
        <w:rPr>
          <w:i/>
          <w:iCs/>
        </w:rPr>
        <w:t>together with</w:t>
      </w:r>
      <w:r>
        <w:rPr>
          <w:i/>
          <w:iCs/>
        </w:rPr>
        <w:t xml:space="preserve"> the following annexes 1) draft agenda 2) cost estimate</w:t>
      </w:r>
      <w:r w:rsidR="00E25C0E">
        <w:rPr>
          <w:i/>
          <w:iCs/>
        </w:rPr>
        <w:t>s</w:t>
      </w:r>
      <w:r>
        <w:rPr>
          <w:i/>
          <w:iCs/>
        </w:rPr>
        <w:t xml:space="preserve"> (template provided by CEN)</w:t>
      </w:r>
    </w:p>
    <w:p w14:paraId="07EC807A" w14:textId="23BAD9FE" w:rsidR="00E25C0E" w:rsidRDefault="00E25C0E" w:rsidP="00706086">
      <w:pPr>
        <w:jc w:val="both"/>
      </w:pPr>
      <w:r>
        <w:t xml:space="preserve">Based on this form and abovementioned documents a services contract will be signed between CEN and the organising NSB/NC who will receive an advance payment of 50% of the estimated costs. </w:t>
      </w:r>
    </w:p>
    <w:p w14:paraId="1C0C96D9" w14:textId="4891AE13" w:rsidR="005579B7" w:rsidRPr="00CE2C3B" w:rsidRDefault="005579B7" w:rsidP="00CE2C3B">
      <w:pPr>
        <w:pStyle w:val="ListParagraph"/>
        <w:numPr>
          <w:ilvl w:val="1"/>
          <w:numId w:val="7"/>
        </w:numPr>
        <w:jc w:val="both"/>
        <w:rPr>
          <w:rStyle w:val="IntenseEmphasis"/>
        </w:rPr>
      </w:pPr>
      <w:bookmarkStart w:id="1" w:name="_Hlk189835757"/>
      <w:r w:rsidRPr="00CE2C3B">
        <w:rPr>
          <w:rStyle w:val="IntenseEmphasis"/>
        </w:rPr>
        <w:t xml:space="preserve">Location </w:t>
      </w:r>
    </w:p>
    <w:tbl>
      <w:tblPr>
        <w:tblStyle w:val="TableGrid"/>
        <w:tblW w:w="0" w:type="auto"/>
        <w:tblLook w:val="04A0" w:firstRow="1" w:lastRow="0" w:firstColumn="1" w:lastColumn="0" w:noHBand="0" w:noVBand="1"/>
      </w:tblPr>
      <w:tblGrid>
        <w:gridCol w:w="2480"/>
        <w:gridCol w:w="6536"/>
      </w:tblGrid>
      <w:tr w:rsidR="00CE2C3B" w14:paraId="25BF52B9" w14:textId="77777777" w:rsidTr="00CE2C3B">
        <w:tc>
          <w:tcPr>
            <w:tcW w:w="2518" w:type="dxa"/>
          </w:tcPr>
          <w:p w14:paraId="210FD14E" w14:textId="582C65CF" w:rsidR="00CE2C3B" w:rsidRDefault="00CE2C3B" w:rsidP="00CA0B81">
            <w:pPr>
              <w:jc w:val="both"/>
            </w:pPr>
            <w:r>
              <w:t>Event name:</w:t>
            </w:r>
          </w:p>
        </w:tc>
        <w:tc>
          <w:tcPr>
            <w:tcW w:w="6724" w:type="dxa"/>
          </w:tcPr>
          <w:p w14:paraId="76DD602B" w14:textId="77777777" w:rsidR="00CE2C3B" w:rsidRDefault="00CE2C3B" w:rsidP="00CA0B81">
            <w:pPr>
              <w:jc w:val="both"/>
            </w:pPr>
          </w:p>
        </w:tc>
      </w:tr>
      <w:tr w:rsidR="00CE2C3B" w14:paraId="7599D90B" w14:textId="77777777" w:rsidTr="00CE2C3B">
        <w:tc>
          <w:tcPr>
            <w:tcW w:w="2518" w:type="dxa"/>
          </w:tcPr>
          <w:p w14:paraId="37D55BD9" w14:textId="3A4A9296" w:rsidR="00CE2C3B" w:rsidRDefault="00CE2C3B" w:rsidP="00CA0B81">
            <w:pPr>
              <w:jc w:val="both"/>
            </w:pPr>
            <w:r>
              <w:t>Event date:</w:t>
            </w:r>
          </w:p>
        </w:tc>
        <w:tc>
          <w:tcPr>
            <w:tcW w:w="6724" w:type="dxa"/>
          </w:tcPr>
          <w:p w14:paraId="0F31691B" w14:textId="77777777" w:rsidR="00CE2C3B" w:rsidRDefault="00CE2C3B" w:rsidP="00CA0B81">
            <w:pPr>
              <w:jc w:val="both"/>
            </w:pPr>
          </w:p>
        </w:tc>
      </w:tr>
      <w:tr w:rsidR="00CE2C3B" w14:paraId="01FBBA9D" w14:textId="77777777" w:rsidTr="00CE2C3B">
        <w:tc>
          <w:tcPr>
            <w:tcW w:w="2518" w:type="dxa"/>
          </w:tcPr>
          <w:p w14:paraId="2A286998" w14:textId="4D56A3B3" w:rsidR="00CE2C3B" w:rsidRDefault="00CE2C3B" w:rsidP="00CA0B81">
            <w:pPr>
              <w:jc w:val="both"/>
            </w:pPr>
            <w:r>
              <w:t xml:space="preserve">City, Country: </w:t>
            </w:r>
          </w:p>
        </w:tc>
        <w:tc>
          <w:tcPr>
            <w:tcW w:w="6724" w:type="dxa"/>
          </w:tcPr>
          <w:p w14:paraId="6B67A397" w14:textId="77777777" w:rsidR="00CE2C3B" w:rsidRDefault="00CE2C3B" w:rsidP="00CA0B81">
            <w:pPr>
              <w:jc w:val="both"/>
            </w:pPr>
          </w:p>
        </w:tc>
      </w:tr>
    </w:tbl>
    <w:p w14:paraId="430445C1" w14:textId="4BA57539" w:rsidR="00CE2C3B" w:rsidRDefault="00CE2C3B" w:rsidP="00A66BFB">
      <w:pPr>
        <w:spacing w:before="240"/>
        <w:jc w:val="both"/>
        <w:rPr>
          <w:rStyle w:val="IntenseEmphasis"/>
        </w:rPr>
      </w:pPr>
      <w:r>
        <w:rPr>
          <w:rStyle w:val="IntenseEmphasis"/>
        </w:rPr>
        <w:t>1.2 O</w:t>
      </w:r>
      <w:r w:rsidRPr="00CE2C3B">
        <w:rPr>
          <w:rStyle w:val="IntenseEmphasis"/>
        </w:rPr>
        <w:t>rganisers</w:t>
      </w:r>
    </w:p>
    <w:tbl>
      <w:tblPr>
        <w:tblStyle w:val="TableGrid"/>
        <w:tblW w:w="0" w:type="auto"/>
        <w:tblLook w:val="04A0" w:firstRow="1" w:lastRow="0" w:firstColumn="1" w:lastColumn="0" w:noHBand="0" w:noVBand="1"/>
      </w:tblPr>
      <w:tblGrid>
        <w:gridCol w:w="2499"/>
        <w:gridCol w:w="6517"/>
      </w:tblGrid>
      <w:tr w:rsidR="00CE2C3B" w14:paraId="485105DA" w14:textId="77777777" w:rsidTr="00CE2C3B">
        <w:tc>
          <w:tcPr>
            <w:tcW w:w="2518" w:type="dxa"/>
          </w:tcPr>
          <w:p w14:paraId="56AC8EF7" w14:textId="122F117A" w:rsidR="00CE2C3B" w:rsidRPr="00CE2C3B" w:rsidRDefault="00CE2C3B" w:rsidP="00CA0B81">
            <w:pPr>
              <w:jc w:val="both"/>
            </w:pPr>
            <w:r>
              <w:t>Organising NSB/NC:</w:t>
            </w:r>
          </w:p>
        </w:tc>
        <w:tc>
          <w:tcPr>
            <w:tcW w:w="6724" w:type="dxa"/>
          </w:tcPr>
          <w:p w14:paraId="34F579DE" w14:textId="77777777" w:rsidR="00CE2C3B" w:rsidRDefault="00CE2C3B" w:rsidP="00CA0B81">
            <w:pPr>
              <w:jc w:val="both"/>
              <w:rPr>
                <w:b/>
                <w:bCs/>
              </w:rPr>
            </w:pPr>
          </w:p>
        </w:tc>
      </w:tr>
      <w:tr w:rsidR="00CE2C3B" w14:paraId="2AC24024" w14:textId="77777777" w:rsidTr="00CE2C3B">
        <w:tc>
          <w:tcPr>
            <w:tcW w:w="2518" w:type="dxa"/>
          </w:tcPr>
          <w:p w14:paraId="675A4B9E" w14:textId="2BC726FA" w:rsidR="00CE2C3B" w:rsidRPr="00CE2C3B" w:rsidRDefault="00CE2C3B" w:rsidP="00CA0B81">
            <w:pPr>
              <w:jc w:val="both"/>
            </w:pPr>
            <w:r>
              <w:t>Contact person:</w:t>
            </w:r>
          </w:p>
        </w:tc>
        <w:tc>
          <w:tcPr>
            <w:tcW w:w="6724" w:type="dxa"/>
          </w:tcPr>
          <w:p w14:paraId="0E13DAEC" w14:textId="77777777" w:rsidR="00CE2C3B" w:rsidRDefault="00CE2C3B" w:rsidP="00CA0B81">
            <w:pPr>
              <w:jc w:val="both"/>
              <w:rPr>
                <w:b/>
                <w:bCs/>
              </w:rPr>
            </w:pPr>
          </w:p>
        </w:tc>
      </w:tr>
      <w:tr w:rsidR="00CE2C3B" w14:paraId="56C3E357" w14:textId="77777777" w:rsidTr="00CE2C3B">
        <w:tc>
          <w:tcPr>
            <w:tcW w:w="2518" w:type="dxa"/>
          </w:tcPr>
          <w:p w14:paraId="79236597" w14:textId="47ABFAF3" w:rsidR="00CE2C3B" w:rsidRPr="00CE2C3B" w:rsidRDefault="00CE2C3B" w:rsidP="00CA0B81">
            <w:pPr>
              <w:jc w:val="both"/>
            </w:pPr>
            <w:r>
              <w:t>Email:</w:t>
            </w:r>
          </w:p>
        </w:tc>
        <w:tc>
          <w:tcPr>
            <w:tcW w:w="6724" w:type="dxa"/>
          </w:tcPr>
          <w:p w14:paraId="5DFD3AC1" w14:textId="77777777" w:rsidR="00CE2C3B" w:rsidRDefault="00CE2C3B" w:rsidP="00CA0B81">
            <w:pPr>
              <w:jc w:val="both"/>
              <w:rPr>
                <w:b/>
                <w:bCs/>
              </w:rPr>
            </w:pPr>
          </w:p>
        </w:tc>
      </w:tr>
      <w:tr w:rsidR="00CE2C3B" w14:paraId="6C22B22F" w14:textId="77777777" w:rsidTr="00CE2C3B">
        <w:tc>
          <w:tcPr>
            <w:tcW w:w="2518" w:type="dxa"/>
          </w:tcPr>
          <w:p w14:paraId="33F569A8" w14:textId="0F5FDE0F" w:rsidR="00CE2C3B" w:rsidRPr="00CE2C3B" w:rsidRDefault="00CE2C3B" w:rsidP="00CA0B81">
            <w:pPr>
              <w:jc w:val="both"/>
            </w:pPr>
            <w:r>
              <w:t>Organising University/HEI:</w:t>
            </w:r>
          </w:p>
        </w:tc>
        <w:tc>
          <w:tcPr>
            <w:tcW w:w="6724" w:type="dxa"/>
          </w:tcPr>
          <w:p w14:paraId="68E31ED5" w14:textId="77777777" w:rsidR="00CE2C3B" w:rsidRDefault="00CE2C3B" w:rsidP="00CA0B81">
            <w:pPr>
              <w:jc w:val="both"/>
              <w:rPr>
                <w:b/>
                <w:bCs/>
              </w:rPr>
            </w:pPr>
          </w:p>
        </w:tc>
      </w:tr>
      <w:tr w:rsidR="00CE2C3B" w14:paraId="7A82566B" w14:textId="77777777" w:rsidTr="00CE2C3B">
        <w:tc>
          <w:tcPr>
            <w:tcW w:w="2518" w:type="dxa"/>
          </w:tcPr>
          <w:p w14:paraId="0A1AA8FE" w14:textId="51E9BF61" w:rsidR="00CE2C3B" w:rsidRPr="00CE2C3B" w:rsidRDefault="00CE2C3B" w:rsidP="00CA0B81">
            <w:pPr>
              <w:jc w:val="both"/>
            </w:pPr>
            <w:r>
              <w:t>Contact person:</w:t>
            </w:r>
          </w:p>
        </w:tc>
        <w:tc>
          <w:tcPr>
            <w:tcW w:w="6724" w:type="dxa"/>
          </w:tcPr>
          <w:p w14:paraId="3BD1CBC0" w14:textId="77777777" w:rsidR="00CE2C3B" w:rsidRDefault="00CE2C3B" w:rsidP="00CA0B81">
            <w:pPr>
              <w:jc w:val="both"/>
              <w:rPr>
                <w:b/>
                <w:bCs/>
              </w:rPr>
            </w:pPr>
          </w:p>
        </w:tc>
      </w:tr>
      <w:tr w:rsidR="00CE2C3B" w14:paraId="3798C665" w14:textId="77777777" w:rsidTr="00CE2C3B">
        <w:tc>
          <w:tcPr>
            <w:tcW w:w="2518" w:type="dxa"/>
          </w:tcPr>
          <w:p w14:paraId="753A469F" w14:textId="1D228F8C" w:rsidR="00CE2C3B" w:rsidRPr="00CE2C3B" w:rsidRDefault="00CE2C3B" w:rsidP="00CA0B81">
            <w:pPr>
              <w:jc w:val="both"/>
            </w:pPr>
            <w:r>
              <w:t>Email:</w:t>
            </w:r>
          </w:p>
        </w:tc>
        <w:tc>
          <w:tcPr>
            <w:tcW w:w="6724" w:type="dxa"/>
          </w:tcPr>
          <w:p w14:paraId="57B4366D" w14:textId="77777777" w:rsidR="00CE2C3B" w:rsidRDefault="00CE2C3B" w:rsidP="00CA0B81">
            <w:pPr>
              <w:jc w:val="both"/>
              <w:rPr>
                <w:b/>
                <w:bCs/>
              </w:rPr>
            </w:pPr>
          </w:p>
        </w:tc>
      </w:tr>
    </w:tbl>
    <w:bookmarkEnd w:id="1"/>
    <w:p w14:paraId="598C4FEC" w14:textId="31A2217D" w:rsidR="0075036C" w:rsidRDefault="0075036C" w:rsidP="00A66BFB">
      <w:pPr>
        <w:spacing w:before="240"/>
        <w:jc w:val="both"/>
        <w:rPr>
          <w:rStyle w:val="IntenseEmphasis"/>
        </w:rPr>
      </w:pPr>
      <w:r>
        <w:rPr>
          <w:rStyle w:val="IntenseEmphasis"/>
        </w:rPr>
        <w:t>1.3 Collaborations</w:t>
      </w:r>
    </w:p>
    <w:tbl>
      <w:tblPr>
        <w:tblStyle w:val="TableGrid"/>
        <w:tblW w:w="0" w:type="auto"/>
        <w:tblLook w:val="04A0" w:firstRow="1" w:lastRow="0" w:firstColumn="1" w:lastColumn="0" w:noHBand="0" w:noVBand="1"/>
      </w:tblPr>
      <w:tblGrid>
        <w:gridCol w:w="2489"/>
        <w:gridCol w:w="6527"/>
      </w:tblGrid>
      <w:tr w:rsidR="0075036C" w:rsidRPr="0075036C" w14:paraId="5A97ADBD" w14:textId="77777777" w:rsidTr="0075036C">
        <w:tc>
          <w:tcPr>
            <w:tcW w:w="9242" w:type="dxa"/>
            <w:gridSpan w:val="2"/>
          </w:tcPr>
          <w:p w14:paraId="58D76702" w14:textId="3440985D" w:rsidR="0075036C" w:rsidRPr="0075036C" w:rsidRDefault="0075036C" w:rsidP="0075036C">
            <w:pPr>
              <w:jc w:val="both"/>
              <w:rPr>
                <w:rStyle w:val="SubtleEmphasis"/>
              </w:rPr>
            </w:pPr>
            <w:r w:rsidRPr="0075036C">
              <w:rPr>
                <w:rStyle w:val="SubtleEmphasis"/>
              </w:rPr>
              <w:t>Do you foresee collaboration with other partners</w:t>
            </w:r>
            <w:r>
              <w:rPr>
                <w:rStyle w:val="SubtleEmphasis"/>
              </w:rPr>
              <w:t>? (please list them and how they will support the promotion and execution of the event).</w:t>
            </w:r>
          </w:p>
        </w:tc>
      </w:tr>
      <w:tr w:rsidR="0075036C" w14:paraId="44E86B9C" w14:textId="77777777" w:rsidTr="0075036C">
        <w:tc>
          <w:tcPr>
            <w:tcW w:w="2518" w:type="dxa"/>
          </w:tcPr>
          <w:p w14:paraId="1C9DEDE1" w14:textId="07E0AC7F" w:rsidR="0075036C" w:rsidRDefault="0075036C" w:rsidP="0075036C">
            <w:pPr>
              <w:jc w:val="both"/>
              <w:rPr>
                <w:rStyle w:val="IntenseEmphasis"/>
              </w:rPr>
            </w:pPr>
            <w:r>
              <w:rPr>
                <w:rStyle w:val="IntenseEmphasis"/>
              </w:rPr>
              <w:t>Universities</w:t>
            </w:r>
          </w:p>
        </w:tc>
        <w:tc>
          <w:tcPr>
            <w:tcW w:w="6724" w:type="dxa"/>
          </w:tcPr>
          <w:p w14:paraId="07F108BA" w14:textId="2D010EB5" w:rsidR="0075036C" w:rsidRDefault="0075036C" w:rsidP="0075036C">
            <w:pPr>
              <w:jc w:val="both"/>
              <w:rPr>
                <w:rStyle w:val="IntenseEmphasis"/>
              </w:rPr>
            </w:pPr>
          </w:p>
        </w:tc>
      </w:tr>
      <w:tr w:rsidR="0075036C" w14:paraId="5EBBBFAD" w14:textId="77777777" w:rsidTr="0075036C">
        <w:tc>
          <w:tcPr>
            <w:tcW w:w="2518" w:type="dxa"/>
          </w:tcPr>
          <w:p w14:paraId="40FAE56C" w14:textId="77DE88DC" w:rsidR="0075036C" w:rsidRDefault="0075036C" w:rsidP="0075036C">
            <w:pPr>
              <w:jc w:val="both"/>
              <w:rPr>
                <w:rStyle w:val="IntenseEmphasis"/>
              </w:rPr>
            </w:pPr>
            <w:r>
              <w:rPr>
                <w:rStyle w:val="IntenseEmphasis"/>
              </w:rPr>
              <w:t>Student associations</w:t>
            </w:r>
          </w:p>
        </w:tc>
        <w:tc>
          <w:tcPr>
            <w:tcW w:w="6724" w:type="dxa"/>
          </w:tcPr>
          <w:p w14:paraId="74403846" w14:textId="77777777" w:rsidR="0075036C" w:rsidRDefault="0075036C" w:rsidP="0075036C">
            <w:pPr>
              <w:jc w:val="both"/>
              <w:rPr>
                <w:rStyle w:val="IntenseEmphasis"/>
              </w:rPr>
            </w:pPr>
          </w:p>
        </w:tc>
      </w:tr>
      <w:tr w:rsidR="0075036C" w14:paraId="1D32A501" w14:textId="77777777" w:rsidTr="0075036C">
        <w:tc>
          <w:tcPr>
            <w:tcW w:w="2518" w:type="dxa"/>
          </w:tcPr>
          <w:p w14:paraId="00BCE2A3" w14:textId="4EBFBAC0" w:rsidR="0075036C" w:rsidRDefault="0075036C" w:rsidP="0075036C">
            <w:pPr>
              <w:jc w:val="both"/>
              <w:rPr>
                <w:rStyle w:val="IntenseEmphasis"/>
              </w:rPr>
            </w:pPr>
            <w:r>
              <w:rPr>
                <w:rStyle w:val="IntenseEmphasis"/>
              </w:rPr>
              <w:lastRenderedPageBreak/>
              <w:t>Industry</w:t>
            </w:r>
          </w:p>
        </w:tc>
        <w:tc>
          <w:tcPr>
            <w:tcW w:w="6724" w:type="dxa"/>
          </w:tcPr>
          <w:p w14:paraId="694F2B07" w14:textId="77777777" w:rsidR="0075036C" w:rsidRDefault="0075036C" w:rsidP="0075036C">
            <w:pPr>
              <w:jc w:val="both"/>
              <w:rPr>
                <w:rStyle w:val="IntenseEmphasis"/>
              </w:rPr>
            </w:pPr>
          </w:p>
        </w:tc>
      </w:tr>
      <w:tr w:rsidR="0075036C" w14:paraId="58646AB4" w14:textId="77777777" w:rsidTr="0075036C">
        <w:tc>
          <w:tcPr>
            <w:tcW w:w="2518" w:type="dxa"/>
          </w:tcPr>
          <w:p w14:paraId="4005E55A" w14:textId="3F94D634" w:rsidR="0075036C" w:rsidRDefault="0075036C" w:rsidP="0075036C">
            <w:pPr>
              <w:jc w:val="both"/>
              <w:rPr>
                <w:rStyle w:val="IntenseEmphasis"/>
              </w:rPr>
            </w:pPr>
            <w:r>
              <w:rPr>
                <w:rStyle w:val="IntenseEmphasis"/>
              </w:rPr>
              <w:t>Others</w:t>
            </w:r>
          </w:p>
        </w:tc>
        <w:tc>
          <w:tcPr>
            <w:tcW w:w="6724" w:type="dxa"/>
          </w:tcPr>
          <w:p w14:paraId="3D3C9672" w14:textId="77777777" w:rsidR="0075036C" w:rsidRDefault="0075036C" w:rsidP="0075036C">
            <w:pPr>
              <w:jc w:val="both"/>
              <w:rPr>
                <w:rStyle w:val="IntenseEmphasis"/>
              </w:rPr>
            </w:pPr>
          </w:p>
        </w:tc>
      </w:tr>
    </w:tbl>
    <w:p w14:paraId="2B01AFFC" w14:textId="77777777" w:rsidR="0075036C" w:rsidRDefault="0075036C" w:rsidP="00A66BFB">
      <w:pPr>
        <w:spacing w:before="240"/>
        <w:jc w:val="both"/>
        <w:rPr>
          <w:rStyle w:val="IntenseEmphasis"/>
        </w:rPr>
      </w:pPr>
    </w:p>
    <w:p w14:paraId="72C42A30" w14:textId="624704B4" w:rsidR="00CE2C3B" w:rsidRPr="00CE2C3B" w:rsidRDefault="00CE2C3B" w:rsidP="00A66BFB">
      <w:pPr>
        <w:spacing w:before="240"/>
        <w:jc w:val="both"/>
        <w:rPr>
          <w:rStyle w:val="SubtleEmphasis"/>
          <w:color w:val="4F81BD" w:themeColor="accent1"/>
        </w:rPr>
      </w:pPr>
      <w:r w:rsidRPr="00CE2C3B">
        <w:rPr>
          <w:rStyle w:val="IntenseEmphasis"/>
        </w:rPr>
        <w:t xml:space="preserve">2.1 </w:t>
      </w:r>
      <w:r w:rsidR="005579B7" w:rsidRPr="00CE2C3B">
        <w:rPr>
          <w:rStyle w:val="IntenseEmphasis"/>
        </w:rPr>
        <w:t>Participants</w:t>
      </w:r>
    </w:p>
    <w:tbl>
      <w:tblPr>
        <w:tblStyle w:val="TableGrid"/>
        <w:tblW w:w="0" w:type="auto"/>
        <w:tblLook w:val="04A0" w:firstRow="1" w:lastRow="0" w:firstColumn="1" w:lastColumn="0" w:noHBand="0" w:noVBand="1"/>
      </w:tblPr>
      <w:tblGrid>
        <w:gridCol w:w="2641"/>
        <w:gridCol w:w="6375"/>
      </w:tblGrid>
      <w:tr w:rsidR="00CE2C3B" w14:paraId="71BA767E" w14:textId="77777777" w:rsidTr="00CE2C3B">
        <w:tc>
          <w:tcPr>
            <w:tcW w:w="9242" w:type="dxa"/>
            <w:gridSpan w:val="2"/>
          </w:tcPr>
          <w:p w14:paraId="31785DFD" w14:textId="4BC6BF37" w:rsidR="00CE2C3B" w:rsidRPr="00C54984" w:rsidRDefault="00CE2C3B" w:rsidP="005579B7">
            <w:pPr>
              <w:rPr>
                <w:rStyle w:val="SubtleEmphasis"/>
              </w:rPr>
            </w:pPr>
            <w:r>
              <w:rPr>
                <w:rStyle w:val="SubtleEmphasis"/>
                <w:i w:val="0"/>
                <w:iCs w:val="0"/>
              </w:rPr>
              <w:t>How does the organisers plan to reach the students in the invitation phase</w:t>
            </w:r>
            <w:r w:rsidR="00A66BFB">
              <w:rPr>
                <w:rStyle w:val="SubtleEmphasis"/>
                <w:i w:val="0"/>
                <w:iCs w:val="0"/>
              </w:rPr>
              <w:t xml:space="preserve"> to reach the participant target</w:t>
            </w:r>
            <w:r w:rsidR="006F6D49">
              <w:rPr>
                <w:rStyle w:val="SubtleEmphasis"/>
                <w:i w:val="0"/>
                <w:iCs w:val="0"/>
              </w:rPr>
              <w:t xml:space="preserve"> (</w:t>
            </w:r>
            <w:r w:rsidR="005D7F33">
              <w:rPr>
                <w:rStyle w:val="SubtleEmphasis"/>
                <w:i w:val="0"/>
                <w:iCs w:val="0"/>
              </w:rPr>
              <w:t xml:space="preserve">minimum </w:t>
            </w:r>
            <w:r w:rsidR="006F6D49">
              <w:rPr>
                <w:rStyle w:val="SubtleEmphasis"/>
                <w:i w:val="0"/>
                <w:iCs w:val="0"/>
              </w:rPr>
              <w:t>100</w:t>
            </w:r>
            <w:r w:rsidR="005D7F33">
              <w:rPr>
                <w:rStyle w:val="SubtleEmphasis"/>
                <w:i w:val="0"/>
                <w:iCs w:val="0"/>
              </w:rPr>
              <w:t xml:space="preserve"> students</w:t>
            </w:r>
            <w:r w:rsidR="006F6D49">
              <w:rPr>
                <w:rStyle w:val="SubtleEmphasis"/>
                <w:i w:val="0"/>
                <w:iCs w:val="0"/>
              </w:rPr>
              <w:t>)</w:t>
            </w:r>
            <w:r>
              <w:rPr>
                <w:rStyle w:val="SubtleEmphasis"/>
                <w:i w:val="0"/>
                <w:iCs w:val="0"/>
              </w:rPr>
              <w:t>?</w:t>
            </w:r>
            <w:r w:rsidR="00C54984">
              <w:rPr>
                <w:rStyle w:val="SubtleEmphasis"/>
                <w:i w:val="0"/>
                <w:iCs w:val="0"/>
              </w:rPr>
              <w:t xml:space="preserve"> </w:t>
            </w:r>
          </w:p>
        </w:tc>
      </w:tr>
      <w:tr w:rsidR="00933C09" w14:paraId="2EC5F62C" w14:textId="77777777" w:rsidTr="00933C09">
        <w:trPr>
          <w:trHeight w:val="1777"/>
        </w:trPr>
        <w:tc>
          <w:tcPr>
            <w:tcW w:w="2660" w:type="dxa"/>
          </w:tcPr>
          <w:p w14:paraId="3E9A8E44" w14:textId="3F7E9764" w:rsidR="00933C09" w:rsidRDefault="00933C09" w:rsidP="004B08D8">
            <w:pPr>
              <w:rPr>
                <w:rStyle w:val="SubtleEmphasis"/>
                <w:i w:val="0"/>
                <w:iCs w:val="0"/>
              </w:rPr>
            </w:pPr>
            <w:r>
              <w:rPr>
                <w:rStyle w:val="SubtleEmphasis"/>
                <w:i w:val="0"/>
                <w:iCs w:val="0"/>
              </w:rPr>
              <w:t>Communication channels</w:t>
            </w:r>
            <w:r w:rsidR="0009076D">
              <w:rPr>
                <w:rStyle w:val="SubtleEmphasis"/>
                <w:i w:val="0"/>
                <w:iCs w:val="0"/>
              </w:rPr>
              <w:t>:</w:t>
            </w:r>
          </w:p>
        </w:tc>
        <w:tc>
          <w:tcPr>
            <w:tcW w:w="6582" w:type="dxa"/>
          </w:tcPr>
          <w:p w14:paraId="1960B9D6" w14:textId="7474C445" w:rsidR="00933C09" w:rsidRDefault="00933C09" w:rsidP="004B08D8">
            <w:pPr>
              <w:rPr>
                <w:rStyle w:val="SubtleEmphasis"/>
                <w:i w:val="0"/>
                <w:iCs w:val="0"/>
              </w:rPr>
            </w:pPr>
          </w:p>
        </w:tc>
      </w:tr>
      <w:tr w:rsidR="00933C09" w14:paraId="30C582B3" w14:textId="77777777" w:rsidTr="00933C09">
        <w:trPr>
          <w:trHeight w:val="1777"/>
        </w:trPr>
        <w:tc>
          <w:tcPr>
            <w:tcW w:w="2660" w:type="dxa"/>
          </w:tcPr>
          <w:p w14:paraId="26E2936A" w14:textId="7682A6AD" w:rsidR="00933C09" w:rsidRDefault="00933C09" w:rsidP="004B08D8">
            <w:pPr>
              <w:rPr>
                <w:rStyle w:val="SubtleEmphasis"/>
                <w:i w:val="0"/>
                <w:iCs w:val="0"/>
              </w:rPr>
            </w:pPr>
            <w:r>
              <w:rPr>
                <w:rStyle w:val="SubtleEmphasis"/>
                <w:i w:val="0"/>
                <w:iCs w:val="0"/>
              </w:rPr>
              <w:t>Messages (selling points) to be communicated</w:t>
            </w:r>
            <w:r w:rsidR="0009076D">
              <w:rPr>
                <w:rStyle w:val="SubtleEmphasis"/>
                <w:i w:val="0"/>
                <w:iCs w:val="0"/>
              </w:rPr>
              <w:t>:</w:t>
            </w:r>
          </w:p>
        </w:tc>
        <w:tc>
          <w:tcPr>
            <w:tcW w:w="6582" w:type="dxa"/>
          </w:tcPr>
          <w:p w14:paraId="5D3E0EAA" w14:textId="77777777" w:rsidR="00933C09" w:rsidRDefault="00933C09" w:rsidP="004B08D8">
            <w:pPr>
              <w:rPr>
                <w:rStyle w:val="SubtleEmphasis"/>
                <w:i w:val="0"/>
                <w:iCs w:val="0"/>
              </w:rPr>
            </w:pPr>
          </w:p>
        </w:tc>
      </w:tr>
      <w:tr w:rsidR="00933C09" w14:paraId="5A7D812D" w14:textId="77777777" w:rsidTr="00933C09">
        <w:trPr>
          <w:trHeight w:val="1777"/>
        </w:trPr>
        <w:tc>
          <w:tcPr>
            <w:tcW w:w="2660" w:type="dxa"/>
          </w:tcPr>
          <w:p w14:paraId="0A7FC785" w14:textId="16641536" w:rsidR="00933C09" w:rsidRDefault="00933C09" w:rsidP="004B08D8">
            <w:pPr>
              <w:rPr>
                <w:rStyle w:val="SubtleEmphasis"/>
                <w:i w:val="0"/>
                <w:iCs w:val="0"/>
              </w:rPr>
            </w:pPr>
            <w:r>
              <w:rPr>
                <w:rStyle w:val="SubtleEmphasis"/>
                <w:i w:val="0"/>
                <w:iCs w:val="0"/>
              </w:rPr>
              <w:t>Other things to mention:</w:t>
            </w:r>
          </w:p>
        </w:tc>
        <w:tc>
          <w:tcPr>
            <w:tcW w:w="6582" w:type="dxa"/>
          </w:tcPr>
          <w:p w14:paraId="6315E84B" w14:textId="77777777" w:rsidR="00933C09" w:rsidRDefault="00933C09" w:rsidP="004B08D8">
            <w:pPr>
              <w:rPr>
                <w:rStyle w:val="SubtleEmphasis"/>
                <w:i w:val="0"/>
                <w:iCs w:val="0"/>
              </w:rPr>
            </w:pPr>
          </w:p>
        </w:tc>
      </w:tr>
      <w:tr w:rsidR="004B08D8" w14:paraId="2757FC09" w14:textId="77777777" w:rsidTr="004B08D8">
        <w:trPr>
          <w:trHeight w:val="427"/>
        </w:trPr>
        <w:tc>
          <w:tcPr>
            <w:tcW w:w="9242" w:type="dxa"/>
            <w:gridSpan w:val="2"/>
          </w:tcPr>
          <w:p w14:paraId="3A854FED" w14:textId="389E0570" w:rsidR="004B08D8" w:rsidRPr="00C54984" w:rsidRDefault="004B08D8" w:rsidP="004B08D8">
            <w:pPr>
              <w:rPr>
                <w:rStyle w:val="SubtleEmphasis"/>
              </w:rPr>
            </w:pPr>
            <w:r>
              <w:rPr>
                <w:rStyle w:val="SubtleEmphasis"/>
                <w:i w:val="0"/>
                <w:iCs w:val="0"/>
              </w:rPr>
              <w:t xml:space="preserve">What </w:t>
            </w:r>
            <w:r w:rsidR="00C210DF">
              <w:rPr>
                <w:rStyle w:val="SubtleEmphasis"/>
                <w:i w:val="0"/>
                <w:iCs w:val="0"/>
              </w:rPr>
              <w:t>d</w:t>
            </w:r>
            <w:r w:rsidR="00C210DF">
              <w:rPr>
                <w:rStyle w:val="SubtleEmphasis"/>
              </w:rPr>
              <w:t xml:space="preserve">o </w:t>
            </w:r>
            <w:r w:rsidR="00C210DF" w:rsidRPr="00E25C0E">
              <w:rPr>
                <w:rStyle w:val="SubtleEmphasis"/>
                <w:i w:val="0"/>
                <w:iCs w:val="0"/>
              </w:rPr>
              <w:t>you plan to do</w:t>
            </w:r>
            <w:r>
              <w:rPr>
                <w:rStyle w:val="SubtleEmphasis"/>
                <w:i w:val="0"/>
                <w:iCs w:val="0"/>
              </w:rPr>
              <w:t xml:space="preserve"> to attract the students interest</w:t>
            </w:r>
            <w:r>
              <w:rPr>
                <w:rStyle w:val="SubtleEmphasis"/>
                <w:i w:val="0"/>
                <w:iCs w:val="0"/>
              </w:rPr>
              <w:softHyphen/>
            </w:r>
            <w:r w:rsidR="00AF2B3B">
              <w:rPr>
                <w:rStyle w:val="SubtleEmphasis"/>
                <w:i w:val="0"/>
                <w:iCs w:val="0"/>
              </w:rPr>
              <w:t xml:space="preserve"> for the event</w:t>
            </w:r>
            <w:r>
              <w:rPr>
                <w:rStyle w:val="SubtleEmphasis"/>
                <w:i w:val="0"/>
                <w:iCs w:val="0"/>
              </w:rPr>
              <w:t>?</w:t>
            </w:r>
            <w:r w:rsidR="00C54984">
              <w:rPr>
                <w:rStyle w:val="SubtleEmphasis"/>
                <w:i w:val="0"/>
                <w:iCs w:val="0"/>
              </w:rPr>
              <w:t xml:space="preserve"> (</w:t>
            </w:r>
            <w:r w:rsidR="00C210DF" w:rsidRPr="00F96D16">
              <w:rPr>
                <w:rStyle w:val="SubtleEmphasis"/>
              </w:rPr>
              <w:t>e</w:t>
            </w:r>
            <w:r w:rsidR="00C210DF">
              <w:rPr>
                <w:rStyle w:val="SubtleEmphasis"/>
              </w:rPr>
              <w:t xml:space="preserve">.g. </w:t>
            </w:r>
            <w:r w:rsidR="00C54984">
              <w:rPr>
                <w:rStyle w:val="SubtleEmphasis"/>
              </w:rPr>
              <w:t>off</w:t>
            </w:r>
            <w:r w:rsidR="00C02429">
              <w:rPr>
                <w:rStyle w:val="SubtleEmphasis"/>
              </w:rPr>
              <w:t>er micro-credits, collaborations with know</w:t>
            </w:r>
            <w:r w:rsidR="00E25C0E">
              <w:rPr>
                <w:rStyle w:val="SubtleEmphasis"/>
              </w:rPr>
              <w:t>n</w:t>
            </w:r>
            <w:r w:rsidR="00C02429">
              <w:rPr>
                <w:rStyle w:val="SubtleEmphasis"/>
              </w:rPr>
              <w:t xml:space="preserve"> companies/persons, link to classes, free </w:t>
            </w:r>
            <w:proofErr w:type="gramStart"/>
            <w:r w:rsidR="00C02429">
              <w:rPr>
                <w:rStyle w:val="SubtleEmphasis"/>
              </w:rPr>
              <w:t>meals..</w:t>
            </w:r>
            <w:proofErr w:type="gramEnd"/>
            <w:r w:rsidR="00C02429">
              <w:rPr>
                <w:rStyle w:val="SubtleEmphasis"/>
              </w:rPr>
              <w:t>)</w:t>
            </w:r>
          </w:p>
        </w:tc>
      </w:tr>
      <w:tr w:rsidR="004B08D8" w14:paraId="6546675A" w14:textId="77777777" w:rsidTr="00A66BFB">
        <w:trPr>
          <w:trHeight w:val="1777"/>
        </w:trPr>
        <w:tc>
          <w:tcPr>
            <w:tcW w:w="9242" w:type="dxa"/>
            <w:gridSpan w:val="2"/>
          </w:tcPr>
          <w:p w14:paraId="6C9683AD" w14:textId="77777777" w:rsidR="004B08D8" w:rsidRDefault="004B08D8" w:rsidP="004B08D8">
            <w:pPr>
              <w:rPr>
                <w:rStyle w:val="SubtleEmphasis"/>
                <w:i w:val="0"/>
                <w:iCs w:val="0"/>
              </w:rPr>
            </w:pPr>
          </w:p>
        </w:tc>
      </w:tr>
    </w:tbl>
    <w:p w14:paraId="3A55BE83" w14:textId="77777777" w:rsidR="006F6D49" w:rsidRDefault="006F6D49" w:rsidP="004B08D8">
      <w:pPr>
        <w:spacing w:after="0"/>
        <w:rPr>
          <w:rStyle w:val="SubtleEmphasis"/>
          <w:i w:val="0"/>
          <w:iCs w:val="0"/>
        </w:rPr>
      </w:pPr>
    </w:p>
    <w:tbl>
      <w:tblPr>
        <w:tblStyle w:val="TableGrid"/>
        <w:tblW w:w="0" w:type="auto"/>
        <w:tblLook w:val="04A0" w:firstRow="1" w:lastRow="0" w:firstColumn="1" w:lastColumn="0" w:noHBand="0" w:noVBand="1"/>
      </w:tblPr>
      <w:tblGrid>
        <w:gridCol w:w="9016"/>
      </w:tblGrid>
      <w:tr w:rsidR="00CE2C3B" w14:paraId="031DD081" w14:textId="77777777" w:rsidTr="00CE2C3B">
        <w:tc>
          <w:tcPr>
            <w:tcW w:w="9242" w:type="dxa"/>
          </w:tcPr>
          <w:p w14:paraId="0668F223" w14:textId="08F19934" w:rsidR="00CE2C3B" w:rsidRDefault="00CE2C3B" w:rsidP="00CE2C3B">
            <w:pPr>
              <w:rPr>
                <w:rStyle w:val="SubtleEmphasis"/>
                <w:i w:val="0"/>
                <w:iCs w:val="0"/>
              </w:rPr>
            </w:pPr>
            <w:r>
              <w:rPr>
                <w:rStyle w:val="SubtleEmphasis"/>
                <w:i w:val="0"/>
                <w:iCs w:val="0"/>
              </w:rPr>
              <w:t>Describe the role of the teachers/professors related to the ASD?</w:t>
            </w:r>
            <w:r w:rsidR="008F5B52">
              <w:rPr>
                <w:rStyle w:val="SubtleEmphasis"/>
                <w:i w:val="0"/>
                <w:iCs w:val="0"/>
              </w:rPr>
              <w:t xml:space="preserve"> </w:t>
            </w:r>
            <w:r w:rsidR="008F5B52" w:rsidRPr="00F77CE9">
              <w:rPr>
                <w:rStyle w:val="SubtleEmphasis"/>
              </w:rPr>
              <w:t>(if invited as participants please describe how you plan to reach them)</w:t>
            </w:r>
          </w:p>
        </w:tc>
      </w:tr>
      <w:tr w:rsidR="00CE2C3B" w14:paraId="5E7D1567" w14:textId="77777777" w:rsidTr="00CE2C3B">
        <w:trPr>
          <w:trHeight w:val="1714"/>
        </w:trPr>
        <w:tc>
          <w:tcPr>
            <w:tcW w:w="9242" w:type="dxa"/>
          </w:tcPr>
          <w:p w14:paraId="29D4A9A6" w14:textId="77777777" w:rsidR="00CE2C3B" w:rsidRDefault="00CE2C3B" w:rsidP="005579B7">
            <w:pPr>
              <w:rPr>
                <w:rStyle w:val="SubtleEmphasis"/>
                <w:i w:val="0"/>
                <w:iCs w:val="0"/>
              </w:rPr>
            </w:pPr>
          </w:p>
        </w:tc>
      </w:tr>
    </w:tbl>
    <w:p w14:paraId="1898E57D" w14:textId="77777777" w:rsidR="00A66BFB" w:rsidRDefault="00A66BFB" w:rsidP="004B08D8">
      <w:pPr>
        <w:spacing w:after="0"/>
        <w:jc w:val="both"/>
        <w:rPr>
          <w:rStyle w:val="IntenseEmphasis"/>
        </w:rPr>
      </w:pPr>
    </w:p>
    <w:tbl>
      <w:tblPr>
        <w:tblStyle w:val="TableGrid"/>
        <w:tblW w:w="0" w:type="auto"/>
        <w:tblLook w:val="04A0" w:firstRow="1" w:lastRow="0" w:firstColumn="1" w:lastColumn="0" w:noHBand="0" w:noVBand="1"/>
      </w:tblPr>
      <w:tblGrid>
        <w:gridCol w:w="9016"/>
      </w:tblGrid>
      <w:tr w:rsidR="00A66BFB" w14:paraId="5D474DC7" w14:textId="77777777" w:rsidTr="007D7051">
        <w:tc>
          <w:tcPr>
            <w:tcW w:w="9242" w:type="dxa"/>
          </w:tcPr>
          <w:p w14:paraId="02359950" w14:textId="26C290E3" w:rsidR="00A66BFB" w:rsidRDefault="00A66BFB" w:rsidP="007D7051">
            <w:pPr>
              <w:rPr>
                <w:rStyle w:val="SubtleEmphasis"/>
                <w:i w:val="0"/>
                <w:iCs w:val="0"/>
              </w:rPr>
            </w:pPr>
            <w:bookmarkStart w:id="2" w:name="_Hlk189835881"/>
            <w:r>
              <w:rPr>
                <w:rStyle w:val="SubtleEmphasis"/>
                <w:i w:val="0"/>
                <w:iCs w:val="0"/>
              </w:rPr>
              <w:t>Describe the role of the industry representatives related to the ASD?</w:t>
            </w:r>
            <w:r w:rsidR="005D7F33">
              <w:rPr>
                <w:rStyle w:val="SubtleEmphasis"/>
                <w:i w:val="0"/>
                <w:iCs w:val="0"/>
              </w:rPr>
              <w:t xml:space="preserve"> </w:t>
            </w:r>
            <w:r w:rsidR="005D7F33" w:rsidRPr="005D7F33">
              <w:rPr>
                <w:rStyle w:val="SubtleEmphasis"/>
              </w:rPr>
              <w:t>(</w:t>
            </w:r>
            <w:proofErr w:type="gramStart"/>
            <w:r w:rsidR="005D7F33" w:rsidRPr="005D7F33">
              <w:rPr>
                <w:rStyle w:val="SubtleEmphasis"/>
              </w:rPr>
              <w:t>will</w:t>
            </w:r>
            <w:proofErr w:type="gramEnd"/>
            <w:r w:rsidR="005D7F33" w:rsidRPr="005D7F33">
              <w:rPr>
                <w:rStyle w:val="SubtleEmphasis"/>
              </w:rPr>
              <w:t xml:space="preserve"> they be speakers, present a case, organise a </w:t>
            </w:r>
            <w:proofErr w:type="gramStart"/>
            <w:r w:rsidR="005D7F33" w:rsidRPr="005D7F33">
              <w:rPr>
                <w:rStyle w:val="SubtleEmphasis"/>
              </w:rPr>
              <w:t>fair..</w:t>
            </w:r>
            <w:proofErr w:type="gramEnd"/>
            <w:r w:rsidR="005D7F33">
              <w:rPr>
                <w:rStyle w:val="SubtleEmphasis"/>
                <w:i w:val="0"/>
                <w:iCs w:val="0"/>
              </w:rPr>
              <w:t>)</w:t>
            </w:r>
          </w:p>
        </w:tc>
      </w:tr>
      <w:tr w:rsidR="00A66BFB" w14:paraId="27589F34" w14:textId="77777777" w:rsidTr="007D7051">
        <w:trPr>
          <w:trHeight w:val="1714"/>
        </w:trPr>
        <w:tc>
          <w:tcPr>
            <w:tcW w:w="9242" w:type="dxa"/>
          </w:tcPr>
          <w:p w14:paraId="137FC296" w14:textId="77777777" w:rsidR="00A66BFB" w:rsidRDefault="00A66BFB" w:rsidP="007D7051">
            <w:pPr>
              <w:rPr>
                <w:rStyle w:val="SubtleEmphasis"/>
                <w:i w:val="0"/>
                <w:iCs w:val="0"/>
              </w:rPr>
            </w:pPr>
          </w:p>
        </w:tc>
      </w:tr>
    </w:tbl>
    <w:bookmarkEnd w:id="2"/>
    <w:p w14:paraId="0998F159" w14:textId="3CA8A3DC" w:rsidR="005579B7" w:rsidRDefault="00CE2C3B" w:rsidP="004B08D8">
      <w:pPr>
        <w:spacing w:before="240"/>
        <w:jc w:val="both"/>
        <w:rPr>
          <w:rStyle w:val="IntenseEmphasis"/>
        </w:rPr>
      </w:pPr>
      <w:r w:rsidRPr="00CE2C3B">
        <w:rPr>
          <w:rStyle w:val="IntenseEmphasis"/>
        </w:rPr>
        <w:t xml:space="preserve">2.2 </w:t>
      </w:r>
      <w:r w:rsidR="00A66BFB">
        <w:rPr>
          <w:rStyle w:val="IntenseEmphasis"/>
        </w:rPr>
        <w:t xml:space="preserve">Modes of engagement </w:t>
      </w:r>
    </w:p>
    <w:tbl>
      <w:tblPr>
        <w:tblStyle w:val="TableGrid"/>
        <w:tblW w:w="0" w:type="auto"/>
        <w:tblLook w:val="04A0" w:firstRow="1" w:lastRow="0" w:firstColumn="1" w:lastColumn="0" w:noHBand="0" w:noVBand="1"/>
      </w:tblPr>
      <w:tblGrid>
        <w:gridCol w:w="9016"/>
      </w:tblGrid>
      <w:tr w:rsidR="00CE2C3B" w:rsidRPr="00C54984" w14:paraId="41F4BC01" w14:textId="77777777" w:rsidTr="00CE2C3B">
        <w:tc>
          <w:tcPr>
            <w:tcW w:w="9242" w:type="dxa"/>
          </w:tcPr>
          <w:p w14:paraId="69782A1E" w14:textId="359B4F89" w:rsidR="00CE2C3B" w:rsidRPr="00C54984" w:rsidRDefault="00CE2C3B" w:rsidP="00CE2C3B">
            <w:pPr>
              <w:rPr>
                <w:rStyle w:val="IntenseEmphasis"/>
                <w:i w:val="0"/>
                <w:iCs w:val="0"/>
                <w:color w:val="404040" w:themeColor="text1" w:themeTint="BF"/>
              </w:rPr>
            </w:pPr>
            <w:bookmarkStart w:id="3" w:name="_Hlk189836165"/>
            <w:r>
              <w:rPr>
                <w:rStyle w:val="SubtleEmphasis"/>
                <w:i w:val="0"/>
                <w:iCs w:val="0"/>
              </w:rPr>
              <w:t xml:space="preserve">What different engagement methods will </w:t>
            </w:r>
            <w:r w:rsidR="005D7F33">
              <w:rPr>
                <w:rStyle w:val="SubtleEmphasis"/>
                <w:i w:val="0"/>
                <w:iCs w:val="0"/>
              </w:rPr>
              <w:t>you use throughout the</w:t>
            </w:r>
            <w:r>
              <w:rPr>
                <w:rStyle w:val="SubtleEmphasis"/>
                <w:i w:val="0"/>
                <w:iCs w:val="0"/>
              </w:rPr>
              <w:t xml:space="preserve"> ASD </w:t>
            </w:r>
            <w:r w:rsidR="005D7F33">
              <w:rPr>
                <w:rStyle w:val="SubtleEmphasis"/>
                <w:i w:val="0"/>
                <w:iCs w:val="0"/>
              </w:rPr>
              <w:t>event</w:t>
            </w:r>
            <w:r>
              <w:rPr>
                <w:rStyle w:val="SubtleEmphasis"/>
                <w:i w:val="0"/>
                <w:iCs w:val="0"/>
              </w:rPr>
              <w:t>?</w:t>
            </w:r>
            <w:r w:rsidR="00C54984">
              <w:rPr>
                <w:rStyle w:val="SubtleEmphasis"/>
                <w:i w:val="0"/>
                <w:iCs w:val="0"/>
              </w:rPr>
              <w:t xml:space="preserve"> </w:t>
            </w:r>
            <w:r w:rsidR="00C54984" w:rsidRPr="00C54984">
              <w:rPr>
                <w:rStyle w:val="SubtleEmphasis"/>
              </w:rPr>
              <w:t>(</w:t>
            </w:r>
            <w:r w:rsidR="00C210DF">
              <w:rPr>
                <w:rStyle w:val="SubtleEmphasis"/>
              </w:rPr>
              <w:t>e.g.</w:t>
            </w:r>
            <w:r w:rsidR="00C54984" w:rsidRPr="00C54984">
              <w:rPr>
                <w:rStyle w:val="SubtleEmphasis"/>
              </w:rPr>
              <w:t xml:space="preserve"> presentations w/Q&amp;As, quizzes, videos, games, case wo</w:t>
            </w:r>
            <w:r w:rsidR="00C54984">
              <w:rPr>
                <w:rStyle w:val="SubtleEmphasis"/>
              </w:rPr>
              <w:t>rk, etc..)</w:t>
            </w:r>
          </w:p>
        </w:tc>
      </w:tr>
      <w:tr w:rsidR="00CE2C3B" w:rsidRPr="00C54984" w14:paraId="1B423BBA" w14:textId="77777777" w:rsidTr="00A66BFB">
        <w:trPr>
          <w:trHeight w:val="1733"/>
        </w:trPr>
        <w:tc>
          <w:tcPr>
            <w:tcW w:w="9242" w:type="dxa"/>
          </w:tcPr>
          <w:p w14:paraId="64DD5CE9" w14:textId="77777777" w:rsidR="00CE2C3B" w:rsidRPr="00C54984" w:rsidRDefault="00CE2C3B" w:rsidP="005579B7">
            <w:pPr>
              <w:jc w:val="both"/>
              <w:rPr>
                <w:rStyle w:val="IntenseEmphasis"/>
              </w:rPr>
            </w:pPr>
          </w:p>
        </w:tc>
      </w:tr>
    </w:tbl>
    <w:bookmarkEnd w:id="3"/>
    <w:p w14:paraId="20A65280" w14:textId="72D8C8C3" w:rsidR="00CE2C3B" w:rsidRDefault="00A66BFB" w:rsidP="00A66BFB">
      <w:pPr>
        <w:spacing w:before="240"/>
        <w:jc w:val="both"/>
        <w:rPr>
          <w:rStyle w:val="IntenseEmphasis"/>
        </w:rPr>
      </w:pPr>
      <w:r>
        <w:rPr>
          <w:rStyle w:val="IntenseEmphasis"/>
        </w:rPr>
        <w:t xml:space="preserve">2.3. </w:t>
      </w:r>
      <w:r w:rsidR="00F77CE9">
        <w:rPr>
          <w:rStyle w:val="IntenseEmphasis"/>
        </w:rPr>
        <w:t>Intended outcomes</w:t>
      </w:r>
    </w:p>
    <w:tbl>
      <w:tblPr>
        <w:tblStyle w:val="TableGrid"/>
        <w:tblW w:w="0" w:type="auto"/>
        <w:tblLook w:val="04A0" w:firstRow="1" w:lastRow="0" w:firstColumn="1" w:lastColumn="0" w:noHBand="0" w:noVBand="1"/>
      </w:tblPr>
      <w:tblGrid>
        <w:gridCol w:w="3343"/>
        <w:gridCol w:w="5673"/>
      </w:tblGrid>
      <w:tr w:rsidR="0009076D" w14:paraId="75C64BEC" w14:textId="77777777" w:rsidTr="0009076D">
        <w:tc>
          <w:tcPr>
            <w:tcW w:w="9242" w:type="dxa"/>
            <w:gridSpan w:val="2"/>
          </w:tcPr>
          <w:p w14:paraId="7DDF2CCA" w14:textId="44C65881" w:rsidR="0009076D" w:rsidRDefault="0009076D" w:rsidP="00B76F87">
            <w:pPr>
              <w:rPr>
                <w:rStyle w:val="SubtleEmphasis"/>
                <w:i w:val="0"/>
                <w:iCs w:val="0"/>
              </w:rPr>
            </w:pPr>
            <w:r>
              <w:rPr>
                <w:rStyle w:val="SubtleEmphasis"/>
                <w:i w:val="0"/>
                <w:iCs w:val="0"/>
              </w:rPr>
              <w:t>Does the event have a specific topic in relation to standardization? (</w:t>
            </w:r>
            <w:proofErr w:type="gramStart"/>
            <w:r w:rsidR="00C210DF" w:rsidRPr="00F96D16">
              <w:rPr>
                <w:rStyle w:val="SubtleEmphasis"/>
              </w:rPr>
              <w:t>e</w:t>
            </w:r>
            <w:r w:rsidR="00C210DF" w:rsidRPr="00CC0A7F">
              <w:rPr>
                <w:rStyle w:val="SubtleEmphasis"/>
              </w:rPr>
              <w:t>.g.</w:t>
            </w:r>
            <w:r w:rsidRPr="00F96D16">
              <w:rPr>
                <w:rStyle w:val="SubtleEmphasis"/>
              </w:rPr>
              <w:t>.</w:t>
            </w:r>
            <w:proofErr w:type="gramEnd"/>
            <w:r w:rsidRPr="00F96D16">
              <w:rPr>
                <w:rStyle w:val="SubtleEmphasis"/>
              </w:rPr>
              <w:t xml:space="preserve"> SDGs, digital transformation, cyber security, energy transition, circular economy</w:t>
            </w:r>
            <w:r>
              <w:rPr>
                <w:rStyle w:val="SubtleEmphasis"/>
                <w:i w:val="0"/>
                <w:iCs w:val="0"/>
              </w:rPr>
              <w:t>…)</w:t>
            </w:r>
          </w:p>
        </w:tc>
      </w:tr>
      <w:tr w:rsidR="0009076D" w14:paraId="7BCBBE80" w14:textId="77777777" w:rsidTr="0009076D">
        <w:tc>
          <w:tcPr>
            <w:tcW w:w="9242" w:type="dxa"/>
            <w:gridSpan w:val="2"/>
          </w:tcPr>
          <w:p w14:paraId="1D9A072D" w14:textId="77777777" w:rsidR="0009076D" w:rsidRDefault="0009076D" w:rsidP="00B76F87">
            <w:pPr>
              <w:rPr>
                <w:rStyle w:val="SubtleEmphasis"/>
                <w:i w:val="0"/>
                <w:iCs w:val="0"/>
              </w:rPr>
            </w:pPr>
          </w:p>
          <w:p w14:paraId="049DFF7D" w14:textId="77777777" w:rsidR="0009076D" w:rsidRDefault="0009076D" w:rsidP="00B76F87">
            <w:pPr>
              <w:rPr>
                <w:rStyle w:val="SubtleEmphasis"/>
                <w:i w:val="0"/>
                <w:iCs w:val="0"/>
              </w:rPr>
            </w:pPr>
          </w:p>
          <w:p w14:paraId="535B9764" w14:textId="77777777" w:rsidR="0009076D" w:rsidRDefault="0009076D" w:rsidP="00B76F87">
            <w:pPr>
              <w:rPr>
                <w:rStyle w:val="SubtleEmphasis"/>
                <w:i w:val="0"/>
                <w:iCs w:val="0"/>
              </w:rPr>
            </w:pPr>
          </w:p>
        </w:tc>
      </w:tr>
      <w:tr w:rsidR="00A66BFB" w14:paraId="728D6457" w14:textId="77777777" w:rsidTr="00A66BFB">
        <w:tc>
          <w:tcPr>
            <w:tcW w:w="9242" w:type="dxa"/>
            <w:gridSpan w:val="2"/>
          </w:tcPr>
          <w:p w14:paraId="5D4671EC" w14:textId="1BE65071" w:rsidR="00A66BFB" w:rsidRDefault="00A66BFB" w:rsidP="005579B7">
            <w:pPr>
              <w:rPr>
                <w:rStyle w:val="SubtleEmphasis"/>
                <w:i w:val="0"/>
                <w:iCs w:val="0"/>
              </w:rPr>
            </w:pPr>
            <w:r>
              <w:rPr>
                <w:rStyle w:val="SubtleEmphasis"/>
                <w:i w:val="0"/>
                <w:iCs w:val="0"/>
              </w:rPr>
              <w:t xml:space="preserve">Describe which elements in your agenda </w:t>
            </w:r>
            <w:r w:rsidR="00C210DF" w:rsidRPr="00CC0A7F">
              <w:rPr>
                <w:rStyle w:val="SubtleEmphasis"/>
                <w:i w:val="0"/>
                <w:iCs w:val="0"/>
              </w:rPr>
              <w:t>r</w:t>
            </w:r>
            <w:r w:rsidR="00C210DF" w:rsidRPr="00F96D16">
              <w:rPr>
                <w:rStyle w:val="SubtleEmphasis"/>
                <w:i w:val="0"/>
                <w:iCs w:val="0"/>
              </w:rPr>
              <w:t xml:space="preserve">efer to </w:t>
            </w:r>
            <w:r>
              <w:rPr>
                <w:rStyle w:val="SubtleEmphasis"/>
                <w:i w:val="0"/>
                <w:iCs w:val="0"/>
              </w:rPr>
              <w:t xml:space="preserve">and how they will contribute to the following objectives: </w:t>
            </w:r>
          </w:p>
        </w:tc>
      </w:tr>
      <w:tr w:rsidR="00A66BFB" w14:paraId="3FAC4D15" w14:textId="77777777" w:rsidTr="00A66BFB">
        <w:tc>
          <w:tcPr>
            <w:tcW w:w="3369" w:type="dxa"/>
          </w:tcPr>
          <w:p w14:paraId="52814E8C" w14:textId="027064FA" w:rsidR="00A66BFB" w:rsidRPr="00A66BFB" w:rsidRDefault="00DE4878" w:rsidP="005579B7">
            <w:pPr>
              <w:pStyle w:val="ListParagraph"/>
              <w:numPr>
                <w:ilvl w:val="0"/>
                <w:numId w:val="3"/>
              </w:numPr>
              <w:rPr>
                <w:rStyle w:val="SubtleEmphasis"/>
                <w:i w:val="0"/>
                <w:iCs w:val="0"/>
              </w:rPr>
            </w:pPr>
            <w:r w:rsidRPr="00DE4878">
              <w:rPr>
                <w:rStyle w:val="SubtleEmphasis"/>
                <w:i w:val="0"/>
                <w:iCs w:val="0"/>
              </w:rPr>
              <w:t>r</w:t>
            </w:r>
            <w:r w:rsidRPr="00F77CE9">
              <w:rPr>
                <w:rStyle w:val="SubtleEmphasis"/>
                <w:i w:val="0"/>
                <w:iCs w:val="0"/>
              </w:rPr>
              <w:t>aise</w:t>
            </w:r>
            <w:r w:rsidRPr="008A78BA">
              <w:rPr>
                <w:rStyle w:val="SubtleEmphasis"/>
                <w:i w:val="0"/>
                <w:iCs w:val="0"/>
              </w:rPr>
              <w:t xml:space="preserve"> </w:t>
            </w:r>
            <w:r w:rsidR="00A66BFB" w:rsidRPr="008A78BA">
              <w:rPr>
                <w:rStyle w:val="SubtleEmphasis"/>
                <w:i w:val="0"/>
                <w:iCs w:val="0"/>
              </w:rPr>
              <w:t>students</w:t>
            </w:r>
            <w:r>
              <w:rPr>
                <w:rStyle w:val="SubtleEmphasis"/>
                <w:i w:val="0"/>
                <w:iCs w:val="0"/>
              </w:rPr>
              <w:t>’ awareness</w:t>
            </w:r>
            <w:r w:rsidR="00A66BFB" w:rsidRPr="008A78BA">
              <w:rPr>
                <w:rStyle w:val="SubtleEmphasis"/>
                <w:i w:val="0"/>
                <w:iCs w:val="0"/>
              </w:rPr>
              <w:t xml:space="preserve"> of the standardisation landscape </w:t>
            </w:r>
          </w:p>
        </w:tc>
        <w:tc>
          <w:tcPr>
            <w:tcW w:w="5873" w:type="dxa"/>
          </w:tcPr>
          <w:p w14:paraId="354F563E" w14:textId="293788A1" w:rsidR="00A66BFB" w:rsidRDefault="00A66BFB" w:rsidP="005579B7">
            <w:pPr>
              <w:rPr>
                <w:rStyle w:val="SubtleEmphasis"/>
                <w:i w:val="0"/>
                <w:iCs w:val="0"/>
              </w:rPr>
            </w:pPr>
          </w:p>
        </w:tc>
      </w:tr>
      <w:tr w:rsidR="00A66BFB" w14:paraId="1A1D262A" w14:textId="77777777" w:rsidTr="00A66BFB">
        <w:tc>
          <w:tcPr>
            <w:tcW w:w="3369" w:type="dxa"/>
          </w:tcPr>
          <w:p w14:paraId="69EBAB86" w14:textId="58766D40" w:rsidR="00A66BFB" w:rsidRPr="00A66BFB" w:rsidRDefault="00DE4878" w:rsidP="00A66BFB">
            <w:pPr>
              <w:pStyle w:val="ListParagraph"/>
              <w:numPr>
                <w:ilvl w:val="0"/>
                <w:numId w:val="3"/>
              </w:numPr>
              <w:rPr>
                <w:rStyle w:val="SubtleEmphasis"/>
                <w:i w:val="0"/>
                <w:iCs w:val="0"/>
              </w:rPr>
            </w:pPr>
            <w:r>
              <w:rPr>
                <w:rStyle w:val="SubtleEmphasis"/>
                <w:i w:val="0"/>
                <w:iCs w:val="0"/>
              </w:rPr>
              <w:t>raise</w:t>
            </w:r>
            <w:r w:rsidR="00A66BFB" w:rsidRPr="008A78BA">
              <w:rPr>
                <w:rStyle w:val="SubtleEmphasis"/>
                <w:i w:val="0"/>
                <w:iCs w:val="0"/>
              </w:rPr>
              <w:t xml:space="preserve"> the </w:t>
            </w:r>
            <w:proofErr w:type="gramStart"/>
            <w:r w:rsidR="00A66BFB" w:rsidRPr="008A78BA">
              <w:rPr>
                <w:rStyle w:val="SubtleEmphasis"/>
                <w:i w:val="0"/>
                <w:iCs w:val="0"/>
              </w:rPr>
              <w:t>students</w:t>
            </w:r>
            <w:proofErr w:type="gramEnd"/>
            <w:r w:rsidR="00A66BFB" w:rsidRPr="008A78BA">
              <w:rPr>
                <w:rStyle w:val="SubtleEmphasis"/>
                <w:i w:val="0"/>
                <w:iCs w:val="0"/>
              </w:rPr>
              <w:t xml:space="preserve"> </w:t>
            </w:r>
            <w:r>
              <w:rPr>
                <w:rStyle w:val="SubtleEmphasis"/>
                <w:i w:val="0"/>
                <w:iCs w:val="0"/>
              </w:rPr>
              <w:t>awareness</w:t>
            </w:r>
            <w:r w:rsidRPr="008A78BA">
              <w:rPr>
                <w:rStyle w:val="SubtleEmphasis"/>
                <w:i w:val="0"/>
                <w:iCs w:val="0"/>
              </w:rPr>
              <w:t xml:space="preserve"> </w:t>
            </w:r>
            <w:r w:rsidR="00A66BFB" w:rsidRPr="008A78BA">
              <w:rPr>
                <w:rStyle w:val="SubtleEmphasis"/>
                <w:i w:val="0"/>
                <w:iCs w:val="0"/>
              </w:rPr>
              <w:t>of the skills required to engage and contribute to standardisation</w:t>
            </w:r>
          </w:p>
        </w:tc>
        <w:tc>
          <w:tcPr>
            <w:tcW w:w="5873" w:type="dxa"/>
          </w:tcPr>
          <w:p w14:paraId="11202AF8" w14:textId="77777777" w:rsidR="00A66BFB" w:rsidRDefault="00A66BFB" w:rsidP="005579B7">
            <w:pPr>
              <w:rPr>
                <w:rStyle w:val="SubtleEmphasis"/>
                <w:i w:val="0"/>
                <w:iCs w:val="0"/>
              </w:rPr>
            </w:pPr>
          </w:p>
        </w:tc>
      </w:tr>
      <w:tr w:rsidR="00A66BFB" w14:paraId="462AD0D3" w14:textId="77777777" w:rsidTr="00A66BFB">
        <w:tc>
          <w:tcPr>
            <w:tcW w:w="3369" w:type="dxa"/>
          </w:tcPr>
          <w:p w14:paraId="18FA7B5F" w14:textId="6F02FB06" w:rsidR="00A66BFB" w:rsidRPr="00A66BFB" w:rsidRDefault="00A66BFB" w:rsidP="00A66BFB">
            <w:pPr>
              <w:pStyle w:val="ListParagraph"/>
              <w:numPr>
                <w:ilvl w:val="0"/>
                <w:numId w:val="3"/>
              </w:numPr>
              <w:rPr>
                <w:rStyle w:val="SubtleEmphasis"/>
                <w:i w:val="0"/>
                <w:iCs w:val="0"/>
              </w:rPr>
            </w:pPr>
            <w:r w:rsidRPr="008A78BA">
              <w:rPr>
                <w:rStyle w:val="SubtleEmphasis"/>
                <w:i w:val="0"/>
                <w:iCs w:val="0"/>
              </w:rPr>
              <w:t>integrate a discussion of the technical and societal facets of standardization</w:t>
            </w:r>
          </w:p>
        </w:tc>
        <w:tc>
          <w:tcPr>
            <w:tcW w:w="5873" w:type="dxa"/>
          </w:tcPr>
          <w:p w14:paraId="5C5BBB3C" w14:textId="77777777" w:rsidR="00A66BFB" w:rsidRDefault="00A66BFB" w:rsidP="005579B7">
            <w:pPr>
              <w:rPr>
                <w:rStyle w:val="SubtleEmphasis"/>
                <w:i w:val="0"/>
                <w:iCs w:val="0"/>
              </w:rPr>
            </w:pPr>
          </w:p>
        </w:tc>
      </w:tr>
      <w:tr w:rsidR="00A66BFB" w14:paraId="073C62F3" w14:textId="77777777" w:rsidTr="00A66BFB">
        <w:tc>
          <w:tcPr>
            <w:tcW w:w="3369" w:type="dxa"/>
          </w:tcPr>
          <w:p w14:paraId="3D16106F" w14:textId="696D9187" w:rsidR="00A66BFB" w:rsidRPr="00A66BFB" w:rsidRDefault="00DE4878" w:rsidP="00A66BFB">
            <w:pPr>
              <w:pStyle w:val="ListParagraph"/>
              <w:numPr>
                <w:ilvl w:val="0"/>
                <w:numId w:val="3"/>
              </w:numPr>
              <w:rPr>
                <w:rStyle w:val="SubtleEmphasis"/>
                <w:i w:val="0"/>
                <w:iCs w:val="0"/>
              </w:rPr>
            </w:pPr>
            <w:r>
              <w:rPr>
                <w:color w:val="404040" w:themeColor="text1" w:themeTint="BF"/>
                <w:lang w:val="en-US"/>
              </w:rPr>
              <w:t>M</w:t>
            </w:r>
            <w:r>
              <w:rPr>
                <w:lang w:val="en-US"/>
              </w:rPr>
              <w:t>ake</w:t>
            </w:r>
            <w:r w:rsidRPr="008A78BA">
              <w:rPr>
                <w:color w:val="404040" w:themeColor="text1" w:themeTint="BF"/>
                <w:lang w:val="en-US"/>
              </w:rPr>
              <w:t xml:space="preserve"> </w:t>
            </w:r>
            <w:r w:rsidR="00A66BFB" w:rsidRPr="008A78BA">
              <w:rPr>
                <w:color w:val="404040" w:themeColor="text1" w:themeTint="BF"/>
                <w:lang w:val="en-US"/>
              </w:rPr>
              <w:t xml:space="preserve">the students’ </w:t>
            </w:r>
            <w:r>
              <w:rPr>
                <w:color w:val="404040" w:themeColor="text1" w:themeTint="BF"/>
                <w:lang w:val="en-US"/>
              </w:rPr>
              <w:t>f</w:t>
            </w:r>
            <w:r>
              <w:rPr>
                <w:lang w:val="en-US"/>
              </w:rPr>
              <w:t>amiliar with</w:t>
            </w:r>
            <w:r w:rsidRPr="008A78BA">
              <w:rPr>
                <w:color w:val="404040" w:themeColor="text1" w:themeTint="BF"/>
                <w:lang w:val="en-US"/>
              </w:rPr>
              <w:t xml:space="preserve"> </w:t>
            </w:r>
            <w:r w:rsidR="00A66BFB" w:rsidRPr="008A78BA">
              <w:rPr>
                <w:color w:val="404040" w:themeColor="text1" w:themeTint="BF"/>
                <w:lang w:val="en-US"/>
              </w:rPr>
              <w:t>the strategic role that standards play to achieve European policy priorities</w:t>
            </w:r>
          </w:p>
        </w:tc>
        <w:tc>
          <w:tcPr>
            <w:tcW w:w="5873" w:type="dxa"/>
          </w:tcPr>
          <w:p w14:paraId="128158E7" w14:textId="77777777" w:rsidR="00A66BFB" w:rsidRDefault="00A66BFB" w:rsidP="005579B7">
            <w:pPr>
              <w:rPr>
                <w:rStyle w:val="SubtleEmphasis"/>
                <w:i w:val="0"/>
                <w:iCs w:val="0"/>
              </w:rPr>
            </w:pPr>
          </w:p>
        </w:tc>
      </w:tr>
      <w:tr w:rsidR="00A66BFB" w14:paraId="4DEF329B" w14:textId="77777777" w:rsidTr="00A66BFB">
        <w:tc>
          <w:tcPr>
            <w:tcW w:w="3369" w:type="dxa"/>
          </w:tcPr>
          <w:p w14:paraId="329767B8" w14:textId="727FB325" w:rsidR="00A66BFB" w:rsidRPr="00A66BFB" w:rsidRDefault="00A66BFB" w:rsidP="00A66BFB">
            <w:pPr>
              <w:pStyle w:val="ListParagraph"/>
              <w:numPr>
                <w:ilvl w:val="0"/>
                <w:numId w:val="3"/>
              </w:numPr>
              <w:rPr>
                <w:rStyle w:val="SubtleEmphasis"/>
                <w:i w:val="0"/>
                <w:iCs w:val="0"/>
              </w:rPr>
            </w:pPr>
            <w:r>
              <w:rPr>
                <w:color w:val="404040" w:themeColor="text1" w:themeTint="BF"/>
                <w:lang w:val="en-US"/>
              </w:rPr>
              <w:t>R</w:t>
            </w:r>
            <w:r w:rsidRPr="008A78BA">
              <w:rPr>
                <w:color w:val="404040" w:themeColor="text1" w:themeTint="BF"/>
                <w:lang w:val="en-US"/>
              </w:rPr>
              <w:t xml:space="preserve">aise awareness about standardization </w:t>
            </w:r>
            <w:r w:rsidRPr="008A78BA">
              <w:rPr>
                <w:color w:val="404040" w:themeColor="text1" w:themeTint="BF"/>
                <w:lang w:val="en-US"/>
              </w:rPr>
              <w:lastRenderedPageBreak/>
              <w:t>as an important knowledge valorization route for various economic operations</w:t>
            </w:r>
          </w:p>
        </w:tc>
        <w:tc>
          <w:tcPr>
            <w:tcW w:w="5873" w:type="dxa"/>
          </w:tcPr>
          <w:p w14:paraId="7572BDFB" w14:textId="77777777" w:rsidR="00A66BFB" w:rsidRDefault="00A66BFB" w:rsidP="005579B7">
            <w:pPr>
              <w:rPr>
                <w:rStyle w:val="SubtleEmphasis"/>
                <w:i w:val="0"/>
                <w:iCs w:val="0"/>
              </w:rPr>
            </w:pPr>
          </w:p>
        </w:tc>
      </w:tr>
    </w:tbl>
    <w:p w14:paraId="0975FCA4" w14:textId="77777777" w:rsidR="00A66BFB" w:rsidRDefault="00A66BFB" w:rsidP="005579B7">
      <w:pPr>
        <w:rPr>
          <w:rStyle w:val="SubtleEmphasis"/>
          <w:i w:val="0"/>
          <w:iCs w:val="0"/>
        </w:rPr>
      </w:pPr>
    </w:p>
    <w:p w14:paraId="06C6255E" w14:textId="6A934EB4" w:rsidR="008A78BA" w:rsidRDefault="00EA1D02" w:rsidP="005579B7">
      <w:pPr>
        <w:rPr>
          <w:rStyle w:val="SubtleEmphasis"/>
          <w:i w:val="0"/>
          <w:iCs w:val="0"/>
        </w:rPr>
      </w:pPr>
      <w:r>
        <w:rPr>
          <w:rStyle w:val="SubtleEmphasis"/>
          <w:i w:val="0"/>
          <w:iCs w:val="0"/>
        </w:rPr>
        <w:t>2.4 European Student Association</w:t>
      </w:r>
    </w:p>
    <w:p w14:paraId="6DCB4754" w14:textId="1F0B24C6" w:rsidR="00EA1D02" w:rsidRDefault="00EA1D02" w:rsidP="005579B7">
      <w:pPr>
        <w:rPr>
          <w:rStyle w:val="SubtleEmphasis"/>
          <w:i w:val="0"/>
          <w:iCs w:val="0"/>
        </w:rPr>
      </w:pPr>
      <w:r>
        <w:rPr>
          <w:rStyle w:val="SubtleEmphasis"/>
          <w:i w:val="0"/>
          <w:iCs w:val="0"/>
        </w:rPr>
        <w:t>All students who have participated to the ASDs will automatically be invited to become part of the European Students’ Standards Association (ESSA).</w:t>
      </w:r>
      <w:r w:rsidR="007D0A01">
        <w:rPr>
          <w:rStyle w:val="SubtleEmphasis"/>
          <w:i w:val="0"/>
          <w:iCs w:val="0"/>
        </w:rPr>
        <w:t xml:space="preserve"> This association aim to support students in their continued learning as well as become a source for young talents for industry.</w:t>
      </w:r>
    </w:p>
    <w:tbl>
      <w:tblPr>
        <w:tblStyle w:val="TableGrid"/>
        <w:tblW w:w="0" w:type="auto"/>
        <w:tblLook w:val="04A0" w:firstRow="1" w:lastRow="0" w:firstColumn="1" w:lastColumn="0" w:noHBand="0" w:noVBand="1"/>
      </w:tblPr>
      <w:tblGrid>
        <w:gridCol w:w="9016"/>
      </w:tblGrid>
      <w:tr w:rsidR="007D0A01" w14:paraId="123DE303" w14:textId="77777777" w:rsidTr="007D0A01">
        <w:tc>
          <w:tcPr>
            <w:tcW w:w="9016" w:type="dxa"/>
          </w:tcPr>
          <w:p w14:paraId="7E22A5C1" w14:textId="5CED8C92" w:rsidR="007D0A01" w:rsidRDefault="007D0A01" w:rsidP="005579B7">
            <w:pPr>
              <w:rPr>
                <w:rStyle w:val="SubtleEmphasis"/>
                <w:i w:val="0"/>
                <w:iCs w:val="0"/>
              </w:rPr>
            </w:pPr>
            <w:r>
              <w:rPr>
                <w:rStyle w:val="SubtleEmphasis"/>
                <w:i w:val="0"/>
                <w:iCs w:val="0"/>
              </w:rPr>
              <w:t>To NSB/NC: How could such an association best support your strategy? (</w:t>
            </w:r>
            <w:r w:rsidR="00E25C0E" w:rsidRPr="00F96D16">
              <w:rPr>
                <w:rStyle w:val="SubtleEmphasis"/>
              </w:rPr>
              <w:t>e</w:t>
            </w:r>
            <w:r w:rsidR="00E25C0E">
              <w:rPr>
                <w:rStyle w:val="SubtleEmphasis"/>
              </w:rPr>
              <w:t xml:space="preserve">.g. </w:t>
            </w:r>
            <w:r w:rsidRPr="00F96D16">
              <w:rPr>
                <w:rStyle w:val="SubtleEmphasis"/>
              </w:rPr>
              <w:t>Attracting talent, raising awareness about standardisation/your organisation, promoting research related to standardization, other?</w:t>
            </w:r>
            <w:r>
              <w:rPr>
                <w:rStyle w:val="SubtleEmphasis"/>
                <w:i w:val="0"/>
                <w:iCs w:val="0"/>
              </w:rPr>
              <w:t>)</w:t>
            </w:r>
          </w:p>
        </w:tc>
      </w:tr>
      <w:tr w:rsidR="007D0A01" w14:paraId="46256E08" w14:textId="77777777" w:rsidTr="007D0A01">
        <w:tc>
          <w:tcPr>
            <w:tcW w:w="9016" w:type="dxa"/>
          </w:tcPr>
          <w:p w14:paraId="6B3AB457" w14:textId="77777777" w:rsidR="007D0A01" w:rsidRDefault="007D0A01" w:rsidP="005579B7">
            <w:pPr>
              <w:rPr>
                <w:rStyle w:val="SubtleEmphasis"/>
                <w:i w:val="0"/>
                <w:iCs w:val="0"/>
              </w:rPr>
            </w:pPr>
          </w:p>
        </w:tc>
      </w:tr>
    </w:tbl>
    <w:p w14:paraId="7A7AAC70" w14:textId="77777777" w:rsidR="007D0A01" w:rsidRDefault="007D0A01" w:rsidP="005579B7">
      <w:pPr>
        <w:rPr>
          <w:rStyle w:val="SubtleEmphasis"/>
          <w:i w:val="0"/>
          <w:iCs w:val="0"/>
        </w:rPr>
      </w:pPr>
    </w:p>
    <w:tbl>
      <w:tblPr>
        <w:tblStyle w:val="TableGrid"/>
        <w:tblW w:w="0" w:type="auto"/>
        <w:tblLook w:val="04A0" w:firstRow="1" w:lastRow="0" w:firstColumn="1" w:lastColumn="0" w:noHBand="0" w:noVBand="1"/>
      </w:tblPr>
      <w:tblGrid>
        <w:gridCol w:w="9016"/>
      </w:tblGrid>
      <w:tr w:rsidR="007D0A01" w14:paraId="4F7F3200" w14:textId="77777777" w:rsidTr="007D0A01">
        <w:tc>
          <w:tcPr>
            <w:tcW w:w="9016" w:type="dxa"/>
          </w:tcPr>
          <w:p w14:paraId="08841DFD" w14:textId="2657CF34" w:rsidR="007D0A01" w:rsidRDefault="007D0A01" w:rsidP="005579B7">
            <w:pPr>
              <w:rPr>
                <w:rStyle w:val="SubtleEmphasis"/>
                <w:i w:val="0"/>
                <w:iCs w:val="0"/>
              </w:rPr>
            </w:pPr>
            <w:r>
              <w:rPr>
                <w:rStyle w:val="SubtleEmphasis"/>
                <w:i w:val="0"/>
                <w:iCs w:val="0"/>
              </w:rPr>
              <w:t>What could you offer to the ESSA for students in your country? (</w:t>
            </w:r>
            <w:r w:rsidR="00E25C0E" w:rsidRPr="00F96D16">
              <w:rPr>
                <w:rStyle w:val="SubtleEmphasis"/>
              </w:rPr>
              <w:t>e</w:t>
            </w:r>
            <w:r w:rsidR="00E25C0E" w:rsidRPr="00E25C0E">
              <w:rPr>
                <w:rStyle w:val="SubtleEmphasis"/>
              </w:rPr>
              <w:t>.</w:t>
            </w:r>
            <w:r w:rsidR="00E25C0E">
              <w:rPr>
                <w:rStyle w:val="SubtleEmphasis"/>
              </w:rPr>
              <w:t xml:space="preserve">g. </w:t>
            </w:r>
            <w:r w:rsidRPr="00F96D16">
              <w:rPr>
                <w:rStyle w:val="SubtleEmphasis"/>
              </w:rPr>
              <w:t xml:space="preserve">Visits, events, access to standards for academic purposes, </w:t>
            </w:r>
            <w:proofErr w:type="gramStart"/>
            <w:r w:rsidRPr="00F96D16">
              <w:rPr>
                <w:rStyle w:val="SubtleEmphasis"/>
              </w:rPr>
              <w:t>webinars..</w:t>
            </w:r>
            <w:proofErr w:type="gramEnd"/>
            <w:r w:rsidRPr="00F96D16">
              <w:rPr>
                <w:rStyle w:val="SubtleEmphasis"/>
              </w:rPr>
              <w:t xml:space="preserve"> others?</w:t>
            </w:r>
            <w:r>
              <w:rPr>
                <w:rStyle w:val="SubtleEmphasis"/>
                <w:i w:val="0"/>
                <w:iCs w:val="0"/>
              </w:rPr>
              <w:t>)</w:t>
            </w:r>
          </w:p>
        </w:tc>
      </w:tr>
      <w:tr w:rsidR="007D0A01" w14:paraId="777FE4A7" w14:textId="77777777" w:rsidTr="007D0A01">
        <w:tc>
          <w:tcPr>
            <w:tcW w:w="9016" w:type="dxa"/>
          </w:tcPr>
          <w:p w14:paraId="5DAE0197" w14:textId="77777777" w:rsidR="007D0A01" w:rsidRDefault="007D0A01" w:rsidP="005579B7">
            <w:pPr>
              <w:rPr>
                <w:rStyle w:val="SubtleEmphasis"/>
                <w:i w:val="0"/>
                <w:iCs w:val="0"/>
              </w:rPr>
            </w:pPr>
          </w:p>
        </w:tc>
      </w:tr>
    </w:tbl>
    <w:p w14:paraId="5C880FC1" w14:textId="77777777" w:rsidR="007D0A01" w:rsidRPr="005579B7" w:rsidRDefault="007D0A01" w:rsidP="005579B7">
      <w:pPr>
        <w:rPr>
          <w:rStyle w:val="SubtleEmphasis"/>
          <w:i w:val="0"/>
          <w:iCs w:val="0"/>
        </w:rPr>
      </w:pPr>
    </w:p>
    <w:sectPr w:rsidR="007D0A01" w:rsidRPr="00557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B2B"/>
    <w:multiLevelType w:val="multilevel"/>
    <w:tmpl w:val="C1FECE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3D10EAB"/>
    <w:multiLevelType w:val="hybridMultilevel"/>
    <w:tmpl w:val="EF927246"/>
    <w:lvl w:ilvl="0" w:tplc="5DB8E472">
      <w:start w:val="1"/>
      <w:numFmt w:val="bullet"/>
      <w:lvlText w:val=""/>
      <w:lvlJc w:val="left"/>
      <w:pPr>
        <w:tabs>
          <w:tab w:val="num" w:pos="720"/>
        </w:tabs>
        <w:ind w:left="720" w:hanging="360"/>
      </w:pPr>
      <w:rPr>
        <w:rFonts w:ascii="Symbol" w:hAnsi="Symbol" w:hint="default"/>
      </w:rPr>
    </w:lvl>
    <w:lvl w:ilvl="1" w:tplc="9102638C" w:tentative="1">
      <w:start w:val="1"/>
      <w:numFmt w:val="bullet"/>
      <w:lvlText w:val=""/>
      <w:lvlJc w:val="left"/>
      <w:pPr>
        <w:tabs>
          <w:tab w:val="num" w:pos="1440"/>
        </w:tabs>
        <w:ind w:left="1440" w:hanging="360"/>
      </w:pPr>
      <w:rPr>
        <w:rFonts w:ascii="Symbol" w:hAnsi="Symbol" w:hint="default"/>
      </w:rPr>
    </w:lvl>
    <w:lvl w:ilvl="2" w:tplc="81622388" w:tentative="1">
      <w:start w:val="1"/>
      <w:numFmt w:val="bullet"/>
      <w:lvlText w:val=""/>
      <w:lvlJc w:val="left"/>
      <w:pPr>
        <w:tabs>
          <w:tab w:val="num" w:pos="2160"/>
        </w:tabs>
        <w:ind w:left="2160" w:hanging="360"/>
      </w:pPr>
      <w:rPr>
        <w:rFonts w:ascii="Symbol" w:hAnsi="Symbol" w:hint="default"/>
      </w:rPr>
    </w:lvl>
    <w:lvl w:ilvl="3" w:tplc="A0601B92" w:tentative="1">
      <w:start w:val="1"/>
      <w:numFmt w:val="bullet"/>
      <w:lvlText w:val=""/>
      <w:lvlJc w:val="left"/>
      <w:pPr>
        <w:tabs>
          <w:tab w:val="num" w:pos="2880"/>
        </w:tabs>
        <w:ind w:left="2880" w:hanging="360"/>
      </w:pPr>
      <w:rPr>
        <w:rFonts w:ascii="Symbol" w:hAnsi="Symbol" w:hint="default"/>
      </w:rPr>
    </w:lvl>
    <w:lvl w:ilvl="4" w:tplc="24AAE230" w:tentative="1">
      <w:start w:val="1"/>
      <w:numFmt w:val="bullet"/>
      <w:lvlText w:val=""/>
      <w:lvlJc w:val="left"/>
      <w:pPr>
        <w:tabs>
          <w:tab w:val="num" w:pos="3600"/>
        </w:tabs>
        <w:ind w:left="3600" w:hanging="360"/>
      </w:pPr>
      <w:rPr>
        <w:rFonts w:ascii="Symbol" w:hAnsi="Symbol" w:hint="default"/>
      </w:rPr>
    </w:lvl>
    <w:lvl w:ilvl="5" w:tplc="0146312E" w:tentative="1">
      <w:start w:val="1"/>
      <w:numFmt w:val="bullet"/>
      <w:lvlText w:val=""/>
      <w:lvlJc w:val="left"/>
      <w:pPr>
        <w:tabs>
          <w:tab w:val="num" w:pos="4320"/>
        </w:tabs>
        <w:ind w:left="4320" w:hanging="360"/>
      </w:pPr>
      <w:rPr>
        <w:rFonts w:ascii="Symbol" w:hAnsi="Symbol" w:hint="default"/>
      </w:rPr>
    </w:lvl>
    <w:lvl w:ilvl="6" w:tplc="0CAEC016" w:tentative="1">
      <w:start w:val="1"/>
      <w:numFmt w:val="bullet"/>
      <w:lvlText w:val=""/>
      <w:lvlJc w:val="left"/>
      <w:pPr>
        <w:tabs>
          <w:tab w:val="num" w:pos="5040"/>
        </w:tabs>
        <w:ind w:left="5040" w:hanging="360"/>
      </w:pPr>
      <w:rPr>
        <w:rFonts w:ascii="Symbol" w:hAnsi="Symbol" w:hint="default"/>
      </w:rPr>
    </w:lvl>
    <w:lvl w:ilvl="7" w:tplc="9ECECF9C" w:tentative="1">
      <w:start w:val="1"/>
      <w:numFmt w:val="bullet"/>
      <w:lvlText w:val=""/>
      <w:lvlJc w:val="left"/>
      <w:pPr>
        <w:tabs>
          <w:tab w:val="num" w:pos="5760"/>
        </w:tabs>
        <w:ind w:left="5760" w:hanging="360"/>
      </w:pPr>
      <w:rPr>
        <w:rFonts w:ascii="Symbol" w:hAnsi="Symbol" w:hint="default"/>
      </w:rPr>
    </w:lvl>
    <w:lvl w:ilvl="8" w:tplc="2A5C66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2393581"/>
    <w:multiLevelType w:val="hybridMultilevel"/>
    <w:tmpl w:val="93DE2496"/>
    <w:lvl w:ilvl="0" w:tplc="FCEC7C54">
      <w:start w:val="1"/>
      <w:numFmt w:val="bullet"/>
      <w:lvlText w:val=""/>
      <w:lvlJc w:val="left"/>
      <w:pPr>
        <w:tabs>
          <w:tab w:val="num" w:pos="720"/>
        </w:tabs>
        <w:ind w:left="720" w:hanging="360"/>
      </w:pPr>
      <w:rPr>
        <w:rFonts w:ascii="Symbol" w:hAnsi="Symbol" w:hint="default"/>
      </w:rPr>
    </w:lvl>
    <w:lvl w:ilvl="1" w:tplc="4A3AEF70" w:tentative="1">
      <w:start w:val="1"/>
      <w:numFmt w:val="bullet"/>
      <w:lvlText w:val=""/>
      <w:lvlJc w:val="left"/>
      <w:pPr>
        <w:tabs>
          <w:tab w:val="num" w:pos="1440"/>
        </w:tabs>
        <w:ind w:left="1440" w:hanging="360"/>
      </w:pPr>
      <w:rPr>
        <w:rFonts w:ascii="Symbol" w:hAnsi="Symbol" w:hint="default"/>
      </w:rPr>
    </w:lvl>
    <w:lvl w:ilvl="2" w:tplc="37AC45E6" w:tentative="1">
      <w:start w:val="1"/>
      <w:numFmt w:val="bullet"/>
      <w:lvlText w:val=""/>
      <w:lvlJc w:val="left"/>
      <w:pPr>
        <w:tabs>
          <w:tab w:val="num" w:pos="2160"/>
        </w:tabs>
        <w:ind w:left="2160" w:hanging="360"/>
      </w:pPr>
      <w:rPr>
        <w:rFonts w:ascii="Symbol" w:hAnsi="Symbol" w:hint="default"/>
      </w:rPr>
    </w:lvl>
    <w:lvl w:ilvl="3" w:tplc="036E1112" w:tentative="1">
      <w:start w:val="1"/>
      <w:numFmt w:val="bullet"/>
      <w:lvlText w:val=""/>
      <w:lvlJc w:val="left"/>
      <w:pPr>
        <w:tabs>
          <w:tab w:val="num" w:pos="2880"/>
        </w:tabs>
        <w:ind w:left="2880" w:hanging="360"/>
      </w:pPr>
      <w:rPr>
        <w:rFonts w:ascii="Symbol" w:hAnsi="Symbol" w:hint="default"/>
      </w:rPr>
    </w:lvl>
    <w:lvl w:ilvl="4" w:tplc="5D142542" w:tentative="1">
      <w:start w:val="1"/>
      <w:numFmt w:val="bullet"/>
      <w:lvlText w:val=""/>
      <w:lvlJc w:val="left"/>
      <w:pPr>
        <w:tabs>
          <w:tab w:val="num" w:pos="3600"/>
        </w:tabs>
        <w:ind w:left="3600" w:hanging="360"/>
      </w:pPr>
      <w:rPr>
        <w:rFonts w:ascii="Symbol" w:hAnsi="Symbol" w:hint="default"/>
      </w:rPr>
    </w:lvl>
    <w:lvl w:ilvl="5" w:tplc="D41484AC" w:tentative="1">
      <w:start w:val="1"/>
      <w:numFmt w:val="bullet"/>
      <w:lvlText w:val=""/>
      <w:lvlJc w:val="left"/>
      <w:pPr>
        <w:tabs>
          <w:tab w:val="num" w:pos="4320"/>
        </w:tabs>
        <w:ind w:left="4320" w:hanging="360"/>
      </w:pPr>
      <w:rPr>
        <w:rFonts w:ascii="Symbol" w:hAnsi="Symbol" w:hint="default"/>
      </w:rPr>
    </w:lvl>
    <w:lvl w:ilvl="6" w:tplc="22EAE806" w:tentative="1">
      <w:start w:val="1"/>
      <w:numFmt w:val="bullet"/>
      <w:lvlText w:val=""/>
      <w:lvlJc w:val="left"/>
      <w:pPr>
        <w:tabs>
          <w:tab w:val="num" w:pos="5040"/>
        </w:tabs>
        <w:ind w:left="5040" w:hanging="360"/>
      </w:pPr>
      <w:rPr>
        <w:rFonts w:ascii="Symbol" w:hAnsi="Symbol" w:hint="default"/>
      </w:rPr>
    </w:lvl>
    <w:lvl w:ilvl="7" w:tplc="C688C25A" w:tentative="1">
      <w:start w:val="1"/>
      <w:numFmt w:val="bullet"/>
      <w:lvlText w:val=""/>
      <w:lvlJc w:val="left"/>
      <w:pPr>
        <w:tabs>
          <w:tab w:val="num" w:pos="5760"/>
        </w:tabs>
        <w:ind w:left="5760" w:hanging="360"/>
      </w:pPr>
      <w:rPr>
        <w:rFonts w:ascii="Symbol" w:hAnsi="Symbol" w:hint="default"/>
      </w:rPr>
    </w:lvl>
    <w:lvl w:ilvl="8" w:tplc="79AAE4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B3917FE"/>
    <w:multiLevelType w:val="hybridMultilevel"/>
    <w:tmpl w:val="2DD81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D41B2"/>
    <w:multiLevelType w:val="hybridMultilevel"/>
    <w:tmpl w:val="FF3E91D2"/>
    <w:lvl w:ilvl="0" w:tplc="C2548A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70BF5"/>
    <w:multiLevelType w:val="multilevel"/>
    <w:tmpl w:val="B1E89B8A"/>
    <w:lvl w:ilvl="0">
      <w:start w:val="1"/>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70B94355"/>
    <w:multiLevelType w:val="hybridMultilevel"/>
    <w:tmpl w:val="F3163C36"/>
    <w:lvl w:ilvl="0" w:tplc="C2548A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976000">
    <w:abstractNumId w:val="6"/>
  </w:num>
  <w:num w:numId="2" w16cid:durableId="2005425505">
    <w:abstractNumId w:val="2"/>
  </w:num>
  <w:num w:numId="3" w16cid:durableId="412900920">
    <w:abstractNumId w:val="4"/>
  </w:num>
  <w:num w:numId="4" w16cid:durableId="862402252">
    <w:abstractNumId w:val="1"/>
  </w:num>
  <w:num w:numId="5" w16cid:durableId="136846097">
    <w:abstractNumId w:val="3"/>
  </w:num>
  <w:num w:numId="6" w16cid:durableId="997461873">
    <w:abstractNumId w:val="5"/>
  </w:num>
  <w:num w:numId="7" w16cid:durableId="205121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3F"/>
    <w:rsid w:val="0009076D"/>
    <w:rsid w:val="000D31FD"/>
    <w:rsid w:val="001E54E2"/>
    <w:rsid w:val="00204330"/>
    <w:rsid w:val="00225E54"/>
    <w:rsid w:val="00267F5D"/>
    <w:rsid w:val="0027332C"/>
    <w:rsid w:val="00385300"/>
    <w:rsid w:val="003B4EB9"/>
    <w:rsid w:val="00424EC6"/>
    <w:rsid w:val="0049364B"/>
    <w:rsid w:val="004B08D8"/>
    <w:rsid w:val="005579B7"/>
    <w:rsid w:val="005710AA"/>
    <w:rsid w:val="005D1F9D"/>
    <w:rsid w:val="005D7F33"/>
    <w:rsid w:val="00602B64"/>
    <w:rsid w:val="006F6D49"/>
    <w:rsid w:val="00706086"/>
    <w:rsid w:val="0075036C"/>
    <w:rsid w:val="00783754"/>
    <w:rsid w:val="007D0A01"/>
    <w:rsid w:val="0081143F"/>
    <w:rsid w:val="00852C78"/>
    <w:rsid w:val="008A78BA"/>
    <w:rsid w:val="008B130B"/>
    <w:rsid w:val="008F5B52"/>
    <w:rsid w:val="00903CDC"/>
    <w:rsid w:val="00933C09"/>
    <w:rsid w:val="00A66BFB"/>
    <w:rsid w:val="00A9644C"/>
    <w:rsid w:val="00AF2B3B"/>
    <w:rsid w:val="00B05D4F"/>
    <w:rsid w:val="00B21D54"/>
    <w:rsid w:val="00B348A2"/>
    <w:rsid w:val="00BC3B1D"/>
    <w:rsid w:val="00BD140C"/>
    <w:rsid w:val="00C008F0"/>
    <w:rsid w:val="00C02429"/>
    <w:rsid w:val="00C210DF"/>
    <w:rsid w:val="00C47248"/>
    <w:rsid w:val="00C54984"/>
    <w:rsid w:val="00C67AC9"/>
    <w:rsid w:val="00CA0B81"/>
    <w:rsid w:val="00CC0A7F"/>
    <w:rsid w:val="00CD0AF0"/>
    <w:rsid w:val="00CE2C3B"/>
    <w:rsid w:val="00CE3B60"/>
    <w:rsid w:val="00D750B6"/>
    <w:rsid w:val="00DE4878"/>
    <w:rsid w:val="00E102D9"/>
    <w:rsid w:val="00E25C0E"/>
    <w:rsid w:val="00E5233D"/>
    <w:rsid w:val="00EA1D02"/>
    <w:rsid w:val="00EB2784"/>
    <w:rsid w:val="00EB54F5"/>
    <w:rsid w:val="00EF795B"/>
    <w:rsid w:val="00F0630A"/>
    <w:rsid w:val="00F27C1E"/>
    <w:rsid w:val="00F342C4"/>
    <w:rsid w:val="00F56C20"/>
    <w:rsid w:val="00F71F96"/>
    <w:rsid w:val="00F77CE9"/>
    <w:rsid w:val="00F96D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5D73"/>
  <w15:chartTrackingRefBased/>
  <w15:docId w15:val="{3451C213-B3A4-44F8-885A-3B23CFDE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C78"/>
    <w:pPr>
      <w:spacing w:after="0" w:line="240" w:lineRule="auto"/>
    </w:pPr>
  </w:style>
  <w:style w:type="character" w:customStyle="1" w:styleId="Heading1Char">
    <w:name w:val="Heading 1 Char"/>
    <w:basedOn w:val="DefaultParagraphFont"/>
    <w:link w:val="Heading1"/>
    <w:uiPriority w:val="9"/>
    <w:rsid w:val="00852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C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A0B81"/>
    <w:pPr>
      <w:ind w:left="720"/>
      <w:contextualSpacing/>
    </w:pPr>
  </w:style>
  <w:style w:type="character" w:styleId="SubtleEmphasis">
    <w:name w:val="Subtle Emphasis"/>
    <w:basedOn w:val="DefaultParagraphFont"/>
    <w:uiPriority w:val="19"/>
    <w:qFormat/>
    <w:rsid w:val="005579B7"/>
    <w:rPr>
      <w:i/>
      <w:iCs/>
      <w:color w:val="404040" w:themeColor="text1" w:themeTint="BF"/>
    </w:rPr>
  </w:style>
  <w:style w:type="character" w:styleId="IntenseEmphasis">
    <w:name w:val="Intense Emphasis"/>
    <w:basedOn w:val="DefaultParagraphFont"/>
    <w:uiPriority w:val="21"/>
    <w:qFormat/>
    <w:rsid w:val="00CE2C3B"/>
    <w:rPr>
      <w:i/>
      <w:iCs/>
      <w:color w:val="4F81BD" w:themeColor="accent1"/>
    </w:rPr>
  </w:style>
  <w:style w:type="table" w:styleId="TableGrid">
    <w:name w:val="Table Grid"/>
    <w:basedOn w:val="TableNormal"/>
    <w:uiPriority w:val="59"/>
    <w:rsid w:val="00CE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248"/>
    <w:rPr>
      <w:color w:val="0000FF" w:themeColor="hyperlink"/>
      <w:u w:val="single"/>
    </w:rPr>
  </w:style>
  <w:style w:type="character" w:styleId="UnresolvedMention">
    <w:name w:val="Unresolved Mention"/>
    <w:basedOn w:val="DefaultParagraphFont"/>
    <w:uiPriority w:val="99"/>
    <w:semiHidden/>
    <w:unhideWhenUsed/>
    <w:rsid w:val="00C47248"/>
    <w:rPr>
      <w:color w:val="605E5C"/>
      <w:shd w:val="clear" w:color="auto" w:fill="E1DFDD"/>
    </w:rPr>
  </w:style>
  <w:style w:type="paragraph" w:styleId="Revision">
    <w:name w:val="Revision"/>
    <w:hidden/>
    <w:uiPriority w:val="99"/>
    <w:semiHidden/>
    <w:rsid w:val="00CD0AF0"/>
    <w:pPr>
      <w:spacing w:after="0" w:line="240" w:lineRule="auto"/>
    </w:pPr>
  </w:style>
  <w:style w:type="character" w:styleId="CommentReference">
    <w:name w:val="annotation reference"/>
    <w:basedOn w:val="DefaultParagraphFont"/>
    <w:uiPriority w:val="99"/>
    <w:semiHidden/>
    <w:unhideWhenUsed/>
    <w:rsid w:val="005710AA"/>
    <w:rPr>
      <w:sz w:val="16"/>
      <w:szCs w:val="16"/>
    </w:rPr>
  </w:style>
  <w:style w:type="paragraph" w:styleId="CommentText">
    <w:name w:val="annotation text"/>
    <w:basedOn w:val="Normal"/>
    <w:link w:val="CommentTextChar"/>
    <w:uiPriority w:val="99"/>
    <w:unhideWhenUsed/>
    <w:rsid w:val="005710AA"/>
    <w:pPr>
      <w:spacing w:line="240" w:lineRule="auto"/>
    </w:pPr>
    <w:rPr>
      <w:sz w:val="20"/>
      <w:szCs w:val="20"/>
    </w:rPr>
  </w:style>
  <w:style w:type="character" w:customStyle="1" w:styleId="CommentTextChar">
    <w:name w:val="Comment Text Char"/>
    <w:basedOn w:val="DefaultParagraphFont"/>
    <w:link w:val="CommentText"/>
    <w:uiPriority w:val="99"/>
    <w:rsid w:val="005710AA"/>
    <w:rPr>
      <w:sz w:val="20"/>
      <w:szCs w:val="20"/>
    </w:rPr>
  </w:style>
  <w:style w:type="paragraph" w:styleId="CommentSubject">
    <w:name w:val="annotation subject"/>
    <w:basedOn w:val="CommentText"/>
    <w:next w:val="CommentText"/>
    <w:link w:val="CommentSubjectChar"/>
    <w:uiPriority w:val="99"/>
    <w:semiHidden/>
    <w:unhideWhenUsed/>
    <w:rsid w:val="005710AA"/>
    <w:rPr>
      <w:b/>
      <w:bCs/>
    </w:rPr>
  </w:style>
  <w:style w:type="character" w:customStyle="1" w:styleId="CommentSubjectChar">
    <w:name w:val="Comment Subject Char"/>
    <w:basedOn w:val="CommentTextChar"/>
    <w:link w:val="CommentSubject"/>
    <w:uiPriority w:val="99"/>
    <w:semiHidden/>
    <w:rsid w:val="00571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600115">
      <w:bodyDiv w:val="1"/>
      <w:marLeft w:val="0"/>
      <w:marRight w:val="0"/>
      <w:marTop w:val="0"/>
      <w:marBottom w:val="0"/>
      <w:divBdr>
        <w:top w:val="none" w:sz="0" w:space="0" w:color="auto"/>
        <w:left w:val="none" w:sz="0" w:space="0" w:color="auto"/>
        <w:bottom w:val="none" w:sz="0" w:space="0" w:color="auto"/>
        <w:right w:val="none" w:sz="0" w:space="0" w:color="auto"/>
      </w:divBdr>
      <w:divsChild>
        <w:div w:id="217860309">
          <w:marLeft w:val="547"/>
          <w:marRight w:val="0"/>
          <w:marTop w:val="86"/>
          <w:marBottom w:val="0"/>
          <w:divBdr>
            <w:top w:val="none" w:sz="0" w:space="0" w:color="auto"/>
            <w:left w:val="none" w:sz="0" w:space="0" w:color="auto"/>
            <w:bottom w:val="none" w:sz="0" w:space="0" w:color="auto"/>
            <w:right w:val="none" w:sz="0" w:space="0" w:color="auto"/>
          </w:divBdr>
        </w:div>
      </w:divsChild>
    </w:div>
    <w:div w:id="2051299974">
      <w:bodyDiv w:val="1"/>
      <w:marLeft w:val="0"/>
      <w:marRight w:val="0"/>
      <w:marTop w:val="0"/>
      <w:marBottom w:val="0"/>
      <w:divBdr>
        <w:top w:val="none" w:sz="0" w:space="0" w:color="auto"/>
        <w:left w:val="none" w:sz="0" w:space="0" w:color="auto"/>
        <w:bottom w:val="none" w:sz="0" w:space="0" w:color="auto"/>
        <w:right w:val="none" w:sz="0" w:space="0" w:color="auto"/>
      </w:divBdr>
      <w:divsChild>
        <w:div w:id="42457479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4417-F210-4C18-A3E5-5A05CC93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Glennung Kirsten</dc:creator>
  <cp:keywords/>
  <dc:description/>
  <cp:lastModifiedBy>Sabrina Duri TRUST-IT</cp:lastModifiedBy>
  <cp:revision>2</cp:revision>
  <dcterms:created xsi:type="dcterms:W3CDTF">2025-07-08T15:53:00Z</dcterms:created>
  <dcterms:modified xsi:type="dcterms:W3CDTF">2025-07-08T15:53:00Z</dcterms:modified>
</cp:coreProperties>
</file>